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206 vom 28. März 2023</w:t>
      </w:r>
    </w:p>
    <w:p>
      <w:r>
        <w:t>VD Tribunal cantonal, 2023-03-28, FR</w:t>
      </w:r>
    </w:p>
    <w:p>
      <w:r>
        <w:rPr>
          <w:b/>
        </w:rPr>
        <w:t xml:space="preserve">Quelle: </w:t>
      </w:r>
      <w:r>
        <w:t>https://mcp.opencaselaw.ch/entscheid/vd_findinfo_D_cision___2023___206</w:t>
      </w:r>
    </w:p>
    <w:p>
      <w:r>
        <w:t>FR: VD_FINDINFO Décision / 2023 / 206 du 28 mars 2023</w:t>
      </w:r>
    </w:p>
    <w:p>
      <w:r>
        <w:t>IT: VD_FINDINFO Décision / 2023 / 206 del 28 marzo 2023</w:t>
      </w:r>
    </w:p>
    <w:p>
      <w:pPr>
        <w:pStyle w:val="Heading2"/>
      </w:pPr>
      <w:r>
        <w:t>Regeste</w:t>
      </w:r>
    </w:p>
    <w:p>
      <w:r>
        <w:t>DÉTENTION PROVISOIRE, RISQUE DE FUITE, RISQUE DE COLLUSION, RISQUE DE RÉCIDIVE, MESURE DE SUBSTITUTION À LA DÉTENTION | 221 al. 1 let. a CPP (CH), 221 al. 1 let. b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d’V.________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ne conteste pas, à juste titre, l’existence de charges suffisantes pesant contre lui.</w:t>
      </w:r>
    </w:p>
    <w:p>
      <w:r>
        <w:rPr>
          <w:b/>
        </w:rPr>
        <w:t>E. 4.1</w:t>
      </w:r>
    </w:p>
    <w:p>
      <w:r>
        <w:t>V.________ reproche en revanche au Tribunal des mesures de contrainte d’avoir retenu l’existence d’un risque de réitération. Il soutient que ses agissements délictueux n’ont touché que des biens matériels, qu’il n’a pas usé de violence et qu’il n’y a pas de risques concrets qu’il le fasse à l’avenir. Selon lui, il ne peut ainsi être retenu que son pronostic est très défavorable et les infractions qu’il a commises ne revêtent pas la gravité requise pour une mise en détention basée sur le risque de réitération.</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(TF 1B_112/2020 du 20 mars 2020 condis. 3.1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ATF 137 IV 84 consid. 3.2).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146 IV 326 consid. 3.1), ce que l'on admet en présence d'aveux crédibles ou d'une situation de preuve manifeste (TF 1B_289/2022 du 1 er juillet 2022 consid. 3.1 ; TF 1B_202/2022 du 11 mai 2022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tels que les enfants. Sans nier la gravité des infractions à caractère économique, elles ne touchent en principe pas directement la sécurité personnelle des lésés, mais menacent leur patrimoine ; en présence de circonstances particulièrement graves, un placement en détention pour ce type d’infraction reste le cas échéant justifié (ATF 143 IV 9 consid. 2.7 ; TF 1B_437/2016 du 5 décembre 2016 consid. 2 ; TF 1B_247/2016 du 27 juillet 2016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En matière de produits stupéfiants, le fait que, selon la jurisprudence du Tribunal fédéral, le cas aggravé résultant de la mise en danger de la santé de nombreuses personnes au sens de l'art. 19 al. 2 let. a LStup (Loi fédérale sur les stupéfiants et les substances psychotropes du 3 octobre 1951 ; RS 812.121) n'entre pas en considération en présence de drogues dites « douces » telles que celles dérivées du cannabis ne permet pas encore de retenir qu'un trafic de haschich de grande ampleur ne peut pas sérieusement compromettre la sécurité d'autrui au sens de l'art. 221 al. 1 let. c CPP. Cette dernière disposition n'exige en effet pas que la santé de nombreuses personnes soit mise en danger à l'instar de l'art. 19 al. 2 let. a LStup mais elle postule que la sécurité d'autrui soit sérieusement compromise par les agissements reprochés au prévenu. Elle vise un autre but, à savoir le maintien de la sécurité d'autrui, sans que cela ne mette en danger de nombreuses personnes (ATF 146 IV 326 consid. 3.2). La jurisprudence retient également un risque de récidive lorsqu'il s'agit, conformément au principe de célérité, d'éviter que la procédure ne soit sans cesse compliquée et prolongée par la commission de nouveaux délits (ATF 137 IV 84 consid. 3.2 ; TF 1B_201/2014 du 19 juin 2014 consid. 3.2).</w:t>
      </w:r>
    </w:p>
    <w:p>
      <w:r>
        <w:rPr>
          <w:b/>
        </w:rPr>
        <w:t>E. 4.3</w:t>
      </w:r>
    </w:p>
    <w:p>
      <w:r>
        <w:t>En l’espèce, le recourant, âgé de 19 ans et demi, n’a aucune inscription à son casier judiciaire. Il n’en demeure pas moins qu’à la question de savoir s’il avait des antécédents, il a reconnu qu’il avait été déféré pour plusieurs vols en tant que mineur dans le canton du Valais, qu’il avait aussi commis des vols en tant que majeur mais qu’il ne voulait pas en dire plus et qu’il avait subi une détention provisoire d’un mois à la prison de Sion en 2021 (PV police du 29 novembre 2022, R. 4, p. 3). Interrogé sur les deux enquêtes en cours dans le canton du Valais, il a déclaré qu’il « avait eu une histoire avec un scooter ainsi qu’un cambriolage » (PV Ministère public du 29 novembre 2022, lignes 196 ss). La police a également indiqué que le recourant était connu dans le canton du Valais depuis 2019 pour divers délits dont des cambriolages (rapport d’investigation du 13 octobre 2022, p. 4). A cela s’ajoute que, dans la présente procédure, V.________ est mis en cause pour avoir commis à tout le moins quinze vols et tentatives de vols entre août et septembre 2022. Par ailleurs, malgré qu’il ait passé un mois en détention provisoire en 2021, il a poursuivi son activité délictueuse. Enfin, la situation est particulièrement préoccupante du fait qu’V.________ admet que les infractions patrimoniales commises constituent non seulement sa propre source de revenus puisqu’il ne travaille pas, mais également celle de ses parents à titre de complément (PV Ministère public, lignes 37 ss : « J’ai commis des vols par besoin. Je précise que je manquais d’argent […]. Ma famille ne gagne pas assez pour nous tous »). Or, sa situation financière et celle de ses parents n’a pas fondamentalement changé, puisque la famille vit des prestations sociales valaisannes, hormis la mère du recourant qui travaille comme aide de cuisine en formation (PV police, R. 3, p. 2). De plus, le recourant a des dettes pour un montant de 3'000 fr. à 4'000 fr., dont environ 1'000 fr. en faveur des CFF pour des transports impayés (PV police, R. 3, p. 3 ; PV Ministère public, lignes 214-215). Pour tous ces motifs, le risque de récidive est manifeste. Toutefois, comme le relève à juste titre le recourant, il n’a pas d’antécédents de violence connus, il n’a commis que des infractions contre le patrimoine et il n’est mis en cause que pour des délits de ce type ainsi que des infractions à la Loi fédérale sur les produits stupéfiants. Agissant de nuit dans des commerces fermés, il ne s’en est jamais pris à l’intégrité physique ou psychique d’autrui. Au vu de son mode opératoire, il n’est en outre pas du tout certain qu’il puisse un jour être confronté à une victime. Par ailleurs, même si cela devait être le cas, rien ne permet de considérer qu’il ferait alors usage de violence. A ce stade, et même si le recourant a démonté qu’il faisait complétement fi des biens d’autrui, il faut admettre qu’il n’est pas possible de retenir qu’il présente un risque concret pour la sécurité d’autrui. En ce qui concerne le trafic de produits stupéfiants qui lui est reproché, il s’agirait de produits cannabiques. Or, il ressort de la jurisprudence qu’en présence de drogues dites « douces », seul un trafic de grande ampleur peut sérieusement compromettre la sécurité d'autrui au sens de l'art. 221 al. 1 let. c CPP. Or, dans le présent cas, le trafic du recourant ne semble pas être d’une ampleur suffisante pour que tel soit le cas. Au vu de ce qui précède, il y a lieu d'admettre que si le risque de récidive est manifeste, il ne justifie toutefois pas, au regard de la nature des infractions en cause, le maintien d’V.________ en détention provisoire. On soulignera toutefois que si le recourant devait une fois encore récidiver en cours d’enquête, sa détention provisoire, basée sur un risque de récidive, se justifierait afin de garantir le principe de célérité (ATF 137 IV 84 consid. 3.2).</w:t>
      </w:r>
    </w:p>
    <w:p>
      <w:r>
        <w:rPr>
          <w:b/>
        </w:rPr>
        <w:t>E. 5.1</w:t>
      </w:r>
    </w:p>
    <w:p>
      <w:r>
        <w:t>Le recourant soutient que le risque de collusion précédemment retenu n’existe plus, toutes les mesures d’instruction ayant été effectuées. Il indique avoir été entendu à plusieurs reprises. Lors de sa dernière audition du 14 février 2023, il a été interrogé par rapport aux résultats des dernières mesures d’instruction et il a renseigné la police au sujet des personnes avec qui il avait des contacts réguliers avant son incarcération. V.________ souligne également que le Tribunal des mesures de contrainte n’indique pas en quoi sa libération compromettrait l’accomplissement d’actes d’instruction, ni lesquels seraient concernés. Enfin, il relève que le Ministère public l’a autorisé à avoir des contacts téléphoniques.</w:t>
      </w:r>
    </w:p>
    <w:p>
      <w:r>
        <w:rPr>
          <w:b/>
        </w:rPr>
        <w:t>E. 5.2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1B_339/2019 du 26 juillet 2019 consid. 3.1 ; TF 1B_536/2018 du 21 décembre 2018 consid. 5.1).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5.3</w:t>
      </w:r>
    </w:p>
    <w:p>
      <w:r>
        <w:t>En l’espèce, il ressort du procès-verbal des opérations qu’en date du 2 février 2023, l’inspecteur en charge de l’affaire souhaitait uniquement réentendre le prévenu avant de finaliser la rédaction de son rapport final, aucune autre mesure d’instruction n’étant envisagée. L’audition d’V.________ a eu lieu le 14 février 2023. On en conclut que le travail d’analyse invoqué par la procureure dans sa requête de prolongation de la détention provisoire a été effectué et qu’en l’état du dossier, le Ministère public n’attend plus que le rapport final de la police. Du reste, le Ministère public n’a pas renseigné le Chambre de céans plus précisément sur d’éventuelles autres mesures d’instruction lorsqu’il a été interpellé. Celui-ci procédera ensuite à une fixation de for avec le canton du Valais. Or, ces mesures d’instruction ne pourront pas être mises à mal par la libération du recourant. Le fait que son activité délictueuse puisse être d’une ampleur plus conséquente, sans toutefois qu’aucune mesure d’instruction concrète ne soit envisagée pour l’établir, n’est pas suffisant pour justifier son maintien en détention. Le risque de collusion n’est donc pas établi à satisfaction.</w:t>
      </w:r>
    </w:p>
    <w:p>
      <w:r>
        <w:rPr>
          <w:b/>
        </w:rPr>
        <w:t>E. 6.1</w:t>
      </w:r>
    </w:p>
    <w:p>
      <w:r>
        <w:t>S’agissant du risque de fuite, ni le Tribunal des mesures de contrainte, ni le recourant ne se sont prononcés sur celui-ci.</w:t>
      </w:r>
    </w:p>
    <w:p>
      <w:r>
        <w:rPr>
          <w:b/>
        </w:rPr>
        <w:t>E. 6.2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Le risque de fuite s'étend également au risque de se soustraire à la procédure pénale ou à la sanction prévisible en tombant dans la clandestinité à l'intérieur du pays (ATF 143 IV 160 précité ; TF 1B_549/2020 du 9 novembre 2020 consid. 3.1).</w:t>
      </w:r>
    </w:p>
    <w:p>
      <w:r>
        <w:rPr>
          <w:b/>
        </w:rPr>
        <w:t>E. 6.3</w:t>
      </w:r>
    </w:p>
    <w:p>
      <w:r>
        <w:t>En l’espèce, le recourant est ressortissant d’[...], pays qu’il a toutefois fui avec sa famille. Il est au bénéfice d’une autorisation de séjour F et, depuis 2015, il vit à [...] avec ses parents. Depuis l’âge de douze ans, il a été scolarisé en Valais puis a suivi une école professionnelle artisanale dans ce canton. En outre, au moment de son interpellation, il effectuait un stage de cuisinier. V.________ a donc des attaches suffisantes avec la Suisse permettant de considérer qu’un risque de fuite n’est pas suffisamment établi pour justifier son maintien en détention.</w:t>
      </w:r>
    </w:p>
    <w:p>
      <w:r>
        <w:rPr>
          <w:b/>
        </w:rPr>
        <w:t>E. 7.1</w:t>
      </w:r>
    </w:p>
    <w:p>
      <w:r>
        <w:t>Le recourant propose plusieurs mesures de substitution en lieu et place de la détention provisoire, soit l’interdiction de contacter les comparses évoqués, l’interdiction de se rendre dans certains lieux, une assignation à résidence ou le port du bracelet électronique.</w:t>
      </w:r>
    </w:p>
    <w:p>
      <w:r>
        <w:rPr>
          <w:b/>
        </w:rPr>
        <w:t>E. 7.2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Les mesures de substitution étant prononcées « en lieu et place de la détention provisoire », il faut que les conditions de base de la détention au sens de l'art. 221 CPP soient remplies, c’est à dire qu'il y ait de graves soupçons d'infraction et un motif de détention, pour qu'elles puissent être ordonnées (ATF 137 IV 122 consid. 2 ; Frei/Zuberbühler Elsässer, in : Donatsch/Lieber/Summers/ Wohlers [éd.], Zürcher Kommentar StPO, 3 e éd., Zurich/Bâle 2020, n. 2 ad art. 237 StPO ; FF 2006 p. 1218). Si les conditions pour ordonner une détention provisoire ne sont pas remplies, à savoir qu’il n’existe pas de soupçons suffisants ou qu’aucun des risques mentionnés à l’art. 221 CPP n’est réalisé, les mesures de substitution ne peuvent être ordonnées (Frei/Zuberbühler Elsässer, op. cit., n. 2 ad art. 237 StPO ; Coquoz in : Jeanneret/Kuhn/Perrier Depeursinge [éd.], Commentaire romand, Code de procédure pénale suisse, 2 e éd., Bâle 2019, n. 5 ad art. 237 CPP ; Härri in : Niggli/Heer/Wiprächtiger [éd.], Basler Kommentar, Schweizerische Strafprozessordnung, 2 e éd., Bâle 2014, n. 2 ad art. 237 StPO). La mise en œuvre de celles-ci ne peut en particulier avoir lieu si les conditions posées pour l’exigence du risque ne sont pas atteintes, c’est-à-dire si le risque n’est pas concret mais seulement léger (Härri, op. cit., n.3 ad art. 237 StPO).</w:t>
      </w:r>
    </w:p>
    <w:p>
      <w:r>
        <w:rPr>
          <w:b/>
        </w:rPr>
        <w:t>E. 7.3</w:t>
      </w:r>
    </w:p>
    <w:p>
      <w:r>
        <w:t>En l’espèce, il ressort de ce qui précède qu’aucun risque mentionné à l’art. 221 CPP n’est réalisé. Les conditions pour ordonner une détention provisoire ne sont donc pas remplies. Il en découle que des mesures de substitution ne peuvent être ordonnées en lieu et place de celle-ci. Le recourant doit donc être purement et simplement libéré.</w:t>
      </w:r>
    </w:p>
    <w:p>
      <w:r>
        <w:rPr>
          <w:b/>
        </w:rPr>
        <w:t>E. 8</w:t>
      </w:r>
    </w:p>
    <w:p>
      <w:r>
        <w:t>En définitive, le recours doit être admis et l’ordonnance entreprise réformée en ce sens qu’V.________ est immédiatement libéré. L’ordonnance sera confirmée pour le surplus. Les frais de la procédure de recours sont fixés à 1’650 fr. (art. 20 al. 1 TFIP [tarif des frais de procédure et indemnités en matière pénale du 28 septembre 2010 ; BLV 312.03.1]). Au vu du travail accompli par Me Quentin Racine, défenseur d'office du recourant, il sera retenu 3 h 30 d'activité d’avocat nécessaire au tarif horaire de 180 fr. (art. 2 al. 1 let. a et 3 al. 2 RAJ [règlement sur l'assistance judiciaire en matière civile du 7 décembre 2010 ; BLV 211.02.3] par renvoi de l'art. 26b TFIP), soit 630 francs. S'y ajoutent 2 % pour les débours (art. 3bis al. 1 RAJ par renvoi de l'art. 26b TFIP), soit 12 fr. 60, et 7,7 % de TVA sur le tout, soit 49 fr. 50, de sorte que l'indemnité d'office s'élève au total à 693 fr. en chiffres ronds. Vu l’admission du recours, les frais judiciaires et les frais imputables à la défense d’office seront laissés à la charge de l’Etat (art. 423 al. 1 CPP). Par ces motifs, la Chambre des recours pénale prononce : I. Le recours est admis. II. L’ordonnance rendue le 21 février 2023 par le Tribunal des mesures de contrainte est réformée aux chiffres I et II de son dispositif comme il suit : « I. Ordonne la libération immédiate d’V.________ , pour autant qu’il ne soit pas détenu pour une autre cause. II. supprimé ». L’ordonnance est confirmée pour le surplus. III. L'indemnité allouée à Me Quentin Racine, défenseur d’office d’V.________, est fixée à 693 fr. (six cent nonante trois francs). IV. Les frais d'arrêt, par 1’650 fr. (mille six cent cinquante francs), ainsi que l'indemnité allouée à Me Quentin Racine, par 693 fr. (six cent nonante trois francs), sont laissés à la charge de l’Etat. V. L’arrêt est exécutoire. La présidente :               La greffière : Du Le présent arrêt, dont la rédaction a été approuvée à huis clos, est notifié, par l'envoi d'une copie complète, à : - Me Quentin Racine, avocat (pour V.________) (et par efax), - Ministère public central (et par efax), et communiqué à : ‑ Mme la Présidente du Tribunal des mesures de contrainte (et par efax), - Mme la Procureure cantonale Strada (et par efax), - Direction de l’Etablissement pour mineurs et jeunes adultes Aux Léchaires (et par efax), - Service de la population et de la migration, Sion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