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179 vom 14. März 2023</w:t>
      </w:r>
    </w:p>
    <w:p>
      <w:r>
        <w:t>VD Tribunal cantonal, 2023-03-14, FR</w:t>
      </w:r>
    </w:p>
    <w:p>
      <w:r>
        <w:rPr>
          <w:b/>
        </w:rPr>
        <w:t xml:space="preserve">Quelle: </w:t>
      </w:r>
      <w:r>
        <w:t>https://mcp.opencaselaw.ch/entscheid/vd_findinfo_D_cision___2023___179</w:t>
      </w:r>
    </w:p>
    <w:p>
      <w:r>
        <w:t>FR: VD_FINDINFO Décision / 2023 / 179 du 14 mars 2023</w:t>
      </w:r>
    </w:p>
    <w:p>
      <w:r>
        <w:t>IT: VD_FINDINFO Décision / 2023 / 179 del 14 marzo 2023</w:t>
      </w:r>
    </w:p>
    <w:p>
      <w:pPr>
        <w:pStyle w:val="Heading2"/>
      </w:pPr>
      <w:r>
        <w:t>Regeste</w:t>
      </w:r>
    </w:p>
    <w:p>
      <w:r>
        <w:t>EXÉCUTION ANTICIPÉE DES PEINES ET DES MESURES, ADMISSION DE LA DEMANDE, DROIT D'ÊTRE ENTENDU, RISQUE DE COLLUSION | 236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4 novembre 2022/828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M. est recevable.</w:t>
      </w:r>
    </w:p>
    <w:p>
      <w:r>
        <w:rPr>
          <w:b/>
        </w:rPr>
        <w:t>E. 2.1</w:t>
      </w:r>
    </w:p>
    <w:p>
      <w:r>
        <w:t>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Cependant, plus l’instruction est avancée et les faits établis avec précision, plus les exigences relatives à la preuve de l’existence d’un risque de collusion sont élevées (TF 1B_415/2012 du 25 juillet 2012 consid. 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précité consid. 2.1 ; TF 1B_186/2018 du 8 mai 2018 consid. 2.1; TF 1B_400/2017 du 18 octobre 2017 consid. 2.1; TF 1B_127/2017 précité consid. 2.1).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Les déclarations que pourraient être amenés à faire les différents participants – tels que les témoins (TF 1B_400/2017 du 18 octobre 2017 consid. 2.3) – représentent donc un moyen de preuve dont la connaissance directe par le tribunal apparaît nécessaire au prononcé du jugement (art. 343 al. 3 CPP ; ATF 140 IV 196 consid. 4.4.3 ; TF 1B_144/2017 du 27 avril 2017 consid. 3.2) et qu'il peut s'avérer indispensable de préserver de toute influence de la part du prévenu (TF 1B_318/2019 du 15 juillet 2019 consid. 2.1; TF 1B_144/2019 du 16 avril 2019 consid. 2.1).</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les références citées). L'art. 236 al. 1 in fine CPP suppose que le « stade de la procédure » concernée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consid. 2.1 ; TF 1B_372/2019 du 27 août 2019 consid.</w:t>
      </w:r>
    </w:p>
    <w:p>
      <w:r>
        <w:rPr>
          <w:b/>
        </w:rPr>
        <w:t>E. 2.3</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La seule référence à la norme légale est insuffisante sous l'angle des exigences de motivation de la décision (CREP 25 mars 2020/204 consid. 2.2 ; CREP 2 mars 2016/137 consid. 2.2 et les références citées). Le principe du droit d’être entendu étant de nature formelle, toute violation de ce dernier conduit, en principe, à l’annulation de la décision rendue et au renvoi du dossier à l'autorité saisie de la cause pour nouvelle décision (ATF 122 IV 8 ; ATF 121 I 230 ; CREP 24 février 2020/137 ; CREP 2 mars 2016/137 précité).</w:t>
      </w:r>
    </w:p>
    <w:p>
      <w:r>
        <w:rPr>
          <w:b/>
        </w:rPr>
        <w:t>E. 2.4</w:t>
      </w:r>
    </w:p>
    <w:p>
      <w:r>
        <w:t>En l’espèce, le Ministère public a considéré qu’il existait un risque de collusion, dès lors que M. était soupçonné d’avoir agi sur instigation de [...] et de [...] et que l’enquête était toujours en cours. La procureure n’a cependant pas indiqué quelles mesures d’instruction seraient encore pendantes. La magistrate a seulement relevé, à l’appui de sa décision, que les déclarations de [...] n’avaient pas encore pu être recueillies et qu’elles étaient susceptibles d’apporter un éclairage important, à charge comme à décharge, au sujet du mobile et de l’implication des prévenus. La procureure n’a toutefois pas mentionné ce qui aurait été entrepris pour permettre l’interpellation et l’audition de l’intéressé, étant rappelé que la demande d’entraide judiciaire internationale adressée aux autorités françaises a échoué, dites autorités ayant fait savoir au Ministère public, le 29 septembre 2022, que [...] avait quitté le territoire français au mois de mai 2022. On ignore ainsi si de nouvelles mesures d’enquête concernant l’intéressé auraient été mises en œuvre depuis lors et, en particulier, si un mandat d’arrêt international le concernant aurait été émis, ce qui ne résulte pas du dossier. Le Ministère public a considéré que le risque de collusion était toujours présent au motif que si M. passait en régime d’exécution anticipée de peine, il serait libre de contacter [...] pour tenter d’influencer ses déclarations en sa faveur ou au détriment de ses coprévenus ou encore de renseigner [...] sur l’affaire en cours. Toutefois, l’instruction étant désormais à un stade avancé, les exigences relatives à la preuve de l’existence d’un risque de collusion sont élevées. S’agissant de [...], comme mentionné ci-dessus, on ignore si un quelconque acte d’enquête est encore en cours le concernant. En ce qui concerne [...], un mandat d’arrêt international a bien été décerné contre cette dernière, ce qui démontre que des moyens sont mis en œuvre pour la localiser. Cependant, ce mandat, émis le 4 septembre 2019, n’a pour l’heure donné aucun résultat et aucune extradition n’a pu être formellement demandée. Or, l’absence d’interpellation de l’intéressée ne permet pas de retenir à long terme l’existence d’un risque de collusion, respectivement de refuser un éventuel passage en exécution anticipée de peine, pour ce seul motif (TF 1B_127/2017 précité consid. 2.3). Dans la mesure où les cas de [...] et [...] ont été disjoints de celui de M. et de ses comparses et au vu de la teneur de la dernière demande de prolongation de détention provisoire adressée par le Ministère public au Tribunal des mesures de contrainte – dans laquelle la magistrate a indiqué qu’après un examen final du rapport d’investigation final de la police et du dossier, elle allait renvoyer à comparaître M. et ses comparses devant un tribunal criminel – tout porte à croire que la procureure n’entend pas attendre l’hypothétique arrestation de [...] et de [...] pour clôturer l’instruction qui concerne le recourant. Dans l’ordonnance attaquée, le Ministère public s’est ainsi contenté de rappeler qu’il existait un risque de collusion en reprenant la motivation qu’il avait développée dans l’ordonnance de refus d’exécution anticipée de peine prononcée le 2 mai 2022 à l’égard de M.. A cette époque, le Ministère public espérait obtenir rapidement un résultat de la commission rogatoire adressée aux autorités françaises concernant [...]. La procureure n’a cependant pas exposé, dans l’ordonnance attaquée, les raisons pour lesquelles un danger concret et sérieux de manœuvres, propre à entraver la manifestation de la vérité, perdurerait désormais. Le Ministère public a également exposé que le mobile et l’implication des prévenus n’auraient pas encore été établis à satisfaction de droit, vu les contradictions qui demeuraient entre les déclarations de la partie plaignante, celles de chacun des prévenus et les éléments matériels découverts. Or, la procureure n’a pas indiqué, précisément, quelles seraient les contradictions entre les versions des coprévenus et celle de la partie plaignante, ni par conséquent en quoi ces contradictions seraient de nature à faire perdurer un risque élevé de collusion. Elle n’a pas non plus indiqué quelles mesures étaient encore envisagées pour instruire davantage les questions du mobile et de l’implication des prévenus, étant rappelé que ceux-ci ont été entendus à cinq reprises chacun dans le cadre de l’instruction, la dernière fois le 11 mars 2022. La magistrate n’a en particulier pas indiqué si elle entendait procéder à d’éventuelles auditions récapitulatives. Par conséquent et faute pour le Ministère public d’avoir indiqué dans l’ordonnance attaquée, au moins dans les grandes lignes, les faits qui demeuraient à établir et les actes d'instruction qu’il devait encore effectuer à cet effet et en quoi le régime d'exécution de peine du prévenu, même avec les mesures possibles de l'art. 236 al. 4 CPP, en compromettrait l'accomplissement, la Chambre de céans considère que la motivation de l’ordonnance attaquée est insuffisante et qu’elle emporte violation du droit d’être entendu du recourant. L’ordonnance entreprise doit par conséquent être annulée et le dossier de la cause retourné au Ministère public pour qu’il rende une nouvelle décision.</w:t>
      </w:r>
    </w:p>
    <w:p>
      <w:r>
        <w:rPr>
          <w:b/>
        </w:rPr>
        <w:t>E. 3</w:t>
      </w:r>
    </w:p>
    <w:p>
      <w:r>
        <w:t>En définitive, le recours doit être admis, l’ordonnance du 10 février 2023 annulée et le dossier de la cause renvoyé au Ministère public de l’arrondissement de Lausanne afin qu’il rende une nouvelle décision motivée dans les meilleurs délais dès la notification du présent arrêt. Les frais de la procédure de recours, constitués en l’espèce de l’émolument d'arrêt, par 1’320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par 10 fr. 80, plus la TVA (7,7%), par 42 fr. 40, soit à 594 fr. au total en chiffres arrondis, seront laissés à la charge de l’Etat (art. 428 al. 4 CPP). Par ces motifs, la Chambre des recours pénale prononce : I. Le recours est admis. II. L’ordonnance du 10 février 2023 est annulée. III. Le dossier de la cause est renvoyé au Ministère public de l’arrondissement Lausanne pour qu’il rende une nouvelle décision dans le sens des considérants dans les meilleurs délais. IV. Les frais d’arrêt, par 1'320 fr. (mille trois cent vingt francs), ainsi que l’indemnité allouée au défenseur d’office du recourant, par 594 fr. (cinq cent nonante-quatre francs), sont laissés à la charge de l’Etat. V. L’arrêt est exécutoire. La présidente :               La greffière : Du Le présent arrêt, dont la rédaction a été approuvée à huis clos, est notifié, par l'envoi d'une copie complète, à : - Me Ludovic Tirelli, avocat (pour M.), - Ministère public central, et communiqué à : - Me Coralie Germond, avocate (pour [...]), ‑ Mme la Procureure de l’arrondissement de Lausanne,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