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176 vom 7. März 2023</w:t>
      </w:r>
    </w:p>
    <w:p>
      <w:r>
        <w:t>VD Tribunal cantonal, 2023-03-07, FR</w:t>
      </w:r>
    </w:p>
    <w:p>
      <w:r>
        <w:rPr>
          <w:b/>
        </w:rPr>
        <w:t xml:space="preserve">Quelle: </w:t>
      </w:r>
      <w:r>
        <w:t>https://mcp.opencaselaw.ch/entscheid/vd_findinfo_D_cision___2023___176</w:t>
      </w:r>
    </w:p>
    <w:p>
      <w:r>
        <w:t>FR: VD_FINDINFO Décision / 2023 / 176 du 7 mars 2023</w:t>
      </w:r>
    </w:p>
    <w:p>
      <w:r>
        <w:t>IT: VD_FINDINFO Décision / 2023 / 176 del 7 marzo 2023</w:t>
      </w:r>
    </w:p>
    <w:p>
      <w:pPr>
        <w:pStyle w:val="Heading2"/>
      </w:pPr>
      <w:r>
        <w:t>Regeste</w:t>
      </w:r>
    </w:p>
    <w:p>
      <w:r>
        <w:t>SÉQUESTRE{MESURE PROVISIONNELLE}, MOTIVATION DE LA DEMANDE, INTÉRÊT JURIDIQUEMENT PROTÉGÉ, PRINCIPE DE LA BONNE FOI, RETARD INJUSTIFIÉ, PRINCIPE DE LA CÉLÉRITÉ | 382 al. 1 CPP (CH), 385 al. 1 CPP (CH), 393 al. 2 let. a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Code de procédure pénale, Petit commentaire, 2 e éd., Bâle 2019, n. 24 ad art. 263 CPP; Lembo/Nerushay, in : Jeanneret/Kuhn/Perrier Depeursinge [éd.], Commentaire romand, Code de procédure pénale suisse, 2 e éd., Bâle 2019, n. 4 ad art. 267 CPP [ci-après : CR CPP]).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septembre 1979 d'organisation judiciaire; BLV 173.01]).</w:t>
      </w:r>
    </w:p>
    <w:p>
      <w:r>
        <w:rPr>
          <w:b/>
        </w:rPr>
        <w:t>E. 1.2</w:t>
      </w:r>
    </w:p>
    <w:p>
      <w:r>
        <w:t>Selon l'art. 382 al. 1 CPP, toute partie qui a un intérêt juridiquement protégé à l'annulation ou à la modification d'une décision a qualité pour recourir contre celle-ci.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84 s.; TF 1B_584/2019 du 12 juin 2020 consid. 2.1).</w:t>
      </w:r>
    </w:p>
    <w:p>
      <w:r>
        <w:rPr>
          <w:b/>
        </w:rPr>
        <w:t>E. 1.3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 les conclusions du recours doivent tendre à la modification, respectivement à l’annulation de l’un ou de plusieurs chiffres du dispositif (Keller, in : Donatsch/Lieber/Summers/Wohlers [édit.], Zürcher Kommentar, Kommentar zur Schweizerischen Strafprozessordnung, 3 e éd. 2020, n. 13a ad art. 396 StPO et les références citées ; Ziegler/Keller, in : Niggli/ Heer/Wiprächtiger [édit.], Basler Kommentar, Schweizerische Strafprozessordnung, Jugendstrafprozessordnung, Art. 196-457 StPO – Art. 1-54 JStPO, 2 e éd., Bâle 2014, n. 1a ad art. 385 CP).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in : Donatsch et alii, op. cit., n. 2 ad art. 385 CPP). Ainsi, il doit indiquer dans quelle mesure et sous quel angle il entend, notamment, critiquer l’établissement des faits ou l’application du droit (Calame, in : Jeanneret/Kuhn/Perrier Depeursinge [édit.], Code de procédure pénale suisse, Commentaire romand, 2 e éd., Bâle 2019, n. 20 ad art. 385 CPP). 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 citées).</w:t>
      </w:r>
    </w:p>
    <w:p>
      <w:r>
        <w:rPr>
          <w:b/>
        </w:rPr>
        <w:t>E. 1.4</w:t>
      </w:r>
    </w:p>
    <w:p>
      <w:r>
        <w:t>En l’espèce, le recourant soutient que le laps de temps entre la saisie et le prononcé du séquestre serait excessif et qu’en l’absence de décision pendant cette longue période, il aurait été empêché de contester cette mesure, de sorte que la possession des objets et documents saisis serait illégale. Or, si le recourant invoque la tardiveté du séquestre, il n’expose toutefois pas les dispositions légales ou les principes jurisprudentiels sur lesquels il y aurait lieu de se fonder pour conclure à l’illicéité du séquestre. Dans ces circonstances, son recours, dépourvu de la motivation exigée par l’art. 385 al. 1 CPP, est irrecevable.</w:t>
      </w:r>
    </w:p>
    <w:p>
      <w:r>
        <w:rPr>
          <w:b/>
        </w:rPr>
        <w:t>E. 1.5</w:t>
      </w:r>
    </w:p>
    <w:p>
      <w:r>
        <w:t>A considérer qu’il soit recevable, le recours devrait être rejeté pour les motifs qui suivent . Conformément à l’art. 393 al. 2 CPP, le recours peut être formé pour violation du droit, y compris l’excès et l’abus du pouvoir d’appréciation, le déni de justice ou le retard injustifié (let. a), pour constatation incomplète ou inexacte des faits (let. b) ou pour inopportunité (let. c). L’autorité de recours dispose d’un plein pouvoir d’examen en fait et en droit et applique ce dernier d’office (TF 6B_421/2017 du 3 octobre 2017 consid. 1.3 ; TF 6B_1251/2016 du 19 juillet 2017 consid. 3.3). Elle n’est par ailleurs pas liée par les motifs invoqués par les parties (art. 391 al. 1 let. a CPP). Pour pouvoir se plaindre avec succès d’un retard injustifié, la partie recourante doit être vainement intervenue auprès de l’autorité pour que celle-ci statue à bref délai (ATF 126 V 244 consid. 2b). Il serait en effet contraire au principe de la bonne foi, qui doit présider aux relations entre organes de l’Etat et particuliers en vertu de l’art.</w:t>
      </w:r>
    </w:p>
    <w:p>
      <w:r>
        <w:rPr>
          <w:b/>
        </w:rPr>
        <w:t>E. 1.6</w:t>
      </w:r>
    </w:p>
    <w:p>
      <w:r>
        <w:t>Par surabondance, même dans l’hypothèse où une violation du principe de célérité aurait pu être constatée, elle n’aurait pu que conduire à la constatation d’un retard injustifié mais non pas à l’illicéité et, partant, à la levée du séquestre attaqué, de sorte que la condition d’un intérêt juridiquement protégé au sens de l’art. 382 al. 1 CPP précité ferait quoi qu’il en soit défaut (cf. consid. 1.2 supra ). 2. Au vu de ce qui précède, le recours doit être déclaré irrecevable. Le recours étant d’emblée dénué de chance de succès, il ne se justifie pas d’allouer une indemnité au défenseur d’office du recourant. La désignation d’un conseil d’office n’est en effet pas un blanc-seing pour introduire des recours aux frais de l’Etat (ATF 139 I 206 consid. 3.3.1 ; TF 1B_648/2022 du 19 janvier 2023 consid. 4.2 ; TF 1B_188/2022 du 9 mai 2022 consid. 5.2 ; TF 1B_31/2022 du 11 février 2022). Les frais de la procédure de recours, constitués du seul émolument d’arrêt, par 770 fr. (cf. art. 20 al. 1 TFIP [tarif des frais de procédure et d’indemnités en matière pénale du 28 septembre 2010 ; BLV 312.03.1]), seront mis à la charge du recourant, qui succombe (cf. art. 428 al. 1, 1 re phrase, CPP). Par ces motifs, la Chambre des recours pénale prononce : I. Le recours est irrecevable. II. Aucune indemnité d’office n’est allouée pour la procédure de recours. III. Les frais d’arrêt, par 770 fr. (sept cent septante francs), sont mis à la charge de H.________. IV. L’arrêt est exécutoire. La présidente :               Le greffier : Du Le présent arrêt, dont la rédaction a été approuvée à huis clos, est notifié, par l'envoi d'une copie complète, à : - Me Astyanax Peca, avocat (pour H.________),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al. 3 Cst, qu’un justiciable se plaigne d’un déni de justice devant l’autorité de recours, alors qu’il n’a entrepris aucune démarche auprès d’elle (cf. TF 1B_561/2021 du 12 novembre 2021 consid. 2 ; TF 1B_309/2021 du 3 septembre 2021 consid. 4). En l’occurrence, le recourant n’établit pas s ’être plaint formellement d’un retard durant la période considérée et il ne peut à ce stade invoquer ce retard pour remettre en cause la validité du séquestre ordonné (cf ég. CREP 16 novembre 2022/857 ; CREP 29 mai 19/447) . Le grief, supposé recevable, devrait ainsi de toute manière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