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143 vom 15. Februar 2023</w:t>
      </w:r>
    </w:p>
    <w:p>
      <w:r>
        <w:t>VD Tribunal cantonal, 2023-02-15, FR</w:t>
      </w:r>
    </w:p>
    <w:p>
      <w:r>
        <w:rPr>
          <w:b/>
        </w:rPr>
        <w:t xml:space="preserve">Quelle: </w:t>
      </w:r>
      <w:r>
        <w:t>https://mcp.opencaselaw.ch/entscheid/vd_findinfo_D_cision___2023___143</w:t>
      </w:r>
    </w:p>
    <w:p>
      <w:r>
        <w:t>FR: VD_FINDINFO Décision / 2023 / 143 du 15 février 2023</w:t>
      </w:r>
    </w:p>
    <w:p>
      <w:r>
        <w:t>IT: VD_FINDINFO Décision / 2023 / 143 del 15 febbraio 2023</w:t>
      </w:r>
    </w:p>
    <w:p>
      <w:pPr>
        <w:pStyle w:val="Heading2"/>
      </w:pPr>
      <w:r>
        <w:t>Regeste</w:t>
      </w:r>
    </w:p>
    <w:p>
      <w:r>
        <w:t>ABUS DE CONFIANCE, ESCROQUERIE, ORDONNANCE DE CLASSEMENT, FOR DE LA POURSUITE, COMPÉTENCE RATIONE LOCI | 138 ch. 1 CP, 146 CP, 3 CP, 8 CP,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Déposé en temps utile auprès de l’autorité compétente par la partie plaignante, qui a qualité pour recourir (art. 382 al. 1 CPP), et satisfaisant aux conditions de forme prescrites (art. 385 al. 1 CPP), le recours de P.________ est recevable.</w:t>
      </w:r>
    </w:p>
    <w:p>
      <w:r>
        <w:rPr>
          <w:b/>
        </w:rPr>
        <w:t>E. 2.1</w:t>
      </w:r>
    </w:p>
    <w:p>
      <w:r>
        <w:t>Le recourant soutient en substance que l’argent qu’il a remis à B.B.________ n’a pas été utilisé conformément à l’accord passé entre eux et que les prévenus l’auraient trompé quant à leurs réelles intentions. P.________ conteste en outre que le contrat ait été signé en Pologne, le raisonnement du Ministère public à cet égard et l’explication donnée par A.B.________ au sujet de la mention « [...] ». Il explique qu’un contrat est réputé conclu lorsque les parties ont réciproquement et d’une manière concordante manifesté leurs volontés, la signature n’étant que l’expression de cet accord. En conséquence, le lieu de signature ne correspond pas nécessairement au lieu de conclusion du contrat. Selon lui, en l’espèce, les pourparlers ayant précédé la signature de l’accord se seraient déroulés à [...] ([...]). C’est donc à cet endroit que la tromperie aurait eu lieu. Enfin, le recourant reproche au Ministère public d’avoir refusé d’agender une nouvelle audition de confrontation entre le prévenu et lui, comme mesure de rétorsion au fait qu’il ne s’était pas présenté lors de la première audition le 29 juin 2022. Il souligne que cette mesure d’instruction serait essentielle et que le Ministère public aurait soudainement changé d’avis sur sa nécessité alors même qu’aucun élément nouveau ne ressortait du dossier.</w:t>
      </w:r>
    </w:p>
    <w:p>
      <w:r>
        <w:rPr>
          <w:b/>
        </w:rPr>
        <w:t>E. 2.2.1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2.2.2</w:t>
      </w:r>
    </w:p>
    <w:p>
      <w:r>
        <w:t>Aux termes de l'art. 3 al. 1 CP (Code pénal suisse du 21 décembre 1937 ; RS 311.0), le Code pénal suisse est applicable à quiconque commet un crime ou un délit en Suisse. Selon la jurisprudence, en réglant l'application du droit suisse, cette disposition règle indirectement la compétence des autorités pénales suisses, lorsqu'une infraction est commise sur le territoire suisse (ATF 108 IV 145 consid. 2 ; TF 6B_668/2014 du 22 décembre 2017 consid. 5.1). D’après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2015 consid. 5.2 et les références citées).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3c à g). Cette définition stricte a toutefois été tempérée dans différents arrêts subséquents (ATF 141 IV 336 consid. 1.1 et 1.2, en matière de falsification de timbres officiels de valeur ; ATF 124 IV 241 consid. 4c et d, en matière d’abus de confiance ; ATF 125 IV 177 consid. 2 et 3, en matière d’infraction contre l’honneur ; sur l’entier de la question, voir également ATF 128 IV 145 consid. 2e ; pour le tout, TF 6B_668/2014 précité). Il ressort de la jurisprudence du Tribunal fédéral qu'afin d'éviter des conflits de compétence négatifs, il convient en principe, dans des problématiques internationales, d'admettre la compétence des autorités pénales suisses, même en l'absence de lien étroit avec la Suisse (ATF 141 IV 336 consid. 1.1 ; TF 6B_178/2011 du 20 juin 2011 consid. 3.1.1). Le Tribunal fédéral a ainsi jugé suffisant le fait que l'argent obtenu à l'étranger par le biais d'une escroquerie soit crédité sur un compte ouvert auprès d’un établissement bancaire suisse, ou le fait qu'un compte ouvert en Suisse appartenant à une société ayant son siège en Suisse ne soit pas, par suite d’un abus de confiance, crédité des actifs convenus (TF 6B_178/2011 précité, ibid., et les arrêts cités). De manière générale, il suffit que l'un des éléments constitutifs de l'infraction ait été exécuté en Suisse pour qu'une infraction puisse être considérée comme réalisée en Suisse (Harari/Liniger Gros, in : Moreillon/Macaluso/Queloz/ Dongois [éd.], Commentaire romand, Code pénal I, Art. 1 à 110 CP, 2 e éd., Bâle 2021, n. 12 ad art. 8 CP). S’agissant en particulier des infractions contre le patrimoine, il s’agit de délits matériels à double résultat, à savoir l'appauvrissement de la victime, d'une part, et l'enrichissement de l'auteur, d'autre part. Le lieu où l'enrichissement s'est produit ou devait se produire est donc un lieu de commission au sens de l'art. 8 CP, au même titre que le lieu où la victime a été appauvrie (à propos de l’escroquerie, ATF 109 IV 1 consid. 3c). À côté du lieu de l’appauvrissement de la victime ou de celui de l’enrichissement de l’auteur figurent également le lieu de survenance de l’erreur, soit celui où la dupe est amenée à se forger une représentation erronée de la situation de fait et le lieu où se trouve l’auteur au moment où il réalise la tromperie astucieuse (Dyens, Territorialité et ubiquité en droit pénal international suisse, Bâle 2014, p. 282 ; TF 6B_635/2018 du 24 octobre 2018 consid. 2.1.3).</w:t>
      </w:r>
    </w:p>
    <w:p>
      <w:r>
        <w:rPr>
          <w:b/>
        </w:rPr>
        <w:t>E. 2.2.3.1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 e éd., Berne 2010, n° 4 ad art. 138 CP). Le comportement délictueux consiste à utiliser la valeur patrimoniale contrairement aux instructions reçues, en s'écartant de la destination fixée (ATF 129 IV 257 consid. 2.2.1 et réf. cit.).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 TF 6B 819/2018 du 25 janvier 2019 consid. 3.4).</w:t>
      </w:r>
    </w:p>
    <w:p>
      <w:r>
        <w:rPr>
          <w:b/>
        </w:rPr>
        <w:t>E. 2.2.3.2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La tromperie portant sur la volonté d'exécuter un contrat est en principe astucieuse au sens de l'art. 146 CP, car elle concerne une intention dont le partenaire contractuel ne peut pas directement vérifier la nature (ATF 147 IV 73 consid. 3.3, JdT 2021 IV 221).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[éd.], op. cit., n. 15 ad art. 146 CP et les références citées).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et la jurisprudence citée). Ainsi, l’astuce n’est exclue que lorsque la personne visée par la tromperie omet de prendre les précautions de base, n’importe quelle négligence ne suffisant pas. Le Tribunal fédéral retient par ailleurs qu’une personne manifestement incapable d’exécuter la prestation promise ne peut pas avoir la volonté sérieuse de la fournir (ATF 147 IV 73 consid. 3.3, JdT 2021 IV 221).</w:t>
      </w:r>
    </w:p>
    <w:p>
      <w:r>
        <w:rPr>
          <w:b/>
        </w:rPr>
        <w:t>E. 2.3</w:t>
      </w:r>
    </w:p>
    <w:p>
      <w:r>
        <w:t>En l’espèce, le point litigieux est de savoir si les infractions d’abus de confiance et d’escroquerie peuvent avoir été commises en Suisse afin de déterminer si les autorités de ce pays sont compétentes pour instruire cette affaire et si, dès lors, le Ministère public pouvait classer la procédure pour le motif qu’elles ne l’étaient pas. Le recourant soutient uniquement que les autorités suisses seraient compétentes ratione loci étant donné que le contrat d’investissement, à l’origine du préjudice patrimonial qu’il invoque, aurait été passé à [...]. Or, cette problématique se rapporte à l’infraction d’escroquerie. L’argumentation du plaignant ne porte pas spécifiquement sur les éléments constitutifs de l’infraction d’abus de confiance. Il ne discute en particulier pas la nationalité des parties, la provenance et la destination des fonds, ainsi que le lieu de réalisation du projet immobilier. Il y a donc lieu de considérer que le raisonnement du Ministère public au sujet de cette infraction n’est pas contesté. Au demeurant, il y a lieu de constater que celui-ci ne mentionne cette infraction que dans ses motifs. S’agissant de l’escroquerie, il n’est pas nécessaire que l’entier du comportement délictueux se soit passé en Suisse pour que les autorités de ce pays soient compétentes ratione loci . Il est suffisant que l’un des éléments constitutifs de l’infraction, par exemple la tromperie astucieuse, ait été réalisé sur notre territoire. Or, en l’espèce, une tromperie pourrait avoir eu lieu lors de la conclusion du contrat ou une tentative de tromperie lors de la tenue des pourparlers ayant conduit à ladite conclusion. Il faut donc déterminer si une conclusion orale du contrat – soit un échange de manifestations de volonté concordantes sur les points essentiels (cf. art. 1 al. 1 CO ; ATF 144 III 93 consid. 5.2 ; TF 4A_123/2022 du 30 septembre 2022 consid. 4.1) – ou les pourparlers ayant conduit à celle-ci ont pu se dérouler en Suisse. Selon le plaignant, le contrat aurait été signé en Suisse. A.B.________ indique quant à lui que la signature aurait eu lieu en Pologne. Il a d’ailleurs produit à cet égard plusieurs témoignages écrits informels. Toutefois, étant donné qu’il a admis avoir lui-même apposé la mention « [...] » sur le document, ce qui est en contradiction avec le fait que la signature ait eu lieu en Pologne, on peut légitimement questionner la force probante de ses déclarations s’agissant du lieu où l’accord a été signé. La question du lieu de signature du contrat, qui est effectivement incertain, peut cependant rester ouverte au vu des développements ci-après. Comme l’a relevé à juste titre le recourant, la conclusion du contrat ne se rapporte pas uniquement à sa signature – à tout le moins pas en l’absence de réserve de la forme écrite - mais englobe aussi les pourparlers ayant conduit à l’échange réciproque de volontés. Or, le dossier de la cause comporte des indices concrets permettant de considérer que les discussions entre les parties ont eu lieu dans une large mesure à [...]. Tout d’abord, P.________ et A.B.________ sont tous deux domiciliés dans cette commune. En particulier, ce dernier, qui était parti quelques temps en vacances en Pologne, y résidait de nouveau depuis septembre 2016, soit juste avant la signature du contrat. Ensuite, il ressort de la lettre de Me Grabowski du 20 décembre 2021 (P. 21) et de l’audition du 24 février 2022 du témoin [...] (PV aud. 2) que les parties avaient l’habitude de parler affaires lorsqu’elles se voyaient en Suisse et que, par le passé, elles avaient déjà conclu, à [...], un contrat soumis au droit suisse. Dès lors, il doit être tenu pour vraisemblable que les pourparlers contractuels se sont déroulés, à tout le moins en partie, à [...] et qu’une potentielle tromperie astucieuse dont aurait été victime le plaignant, pourrait avoir eu lieu à cette occasion. La réalisation des éléments constitutifs de l’escroquerie a donc pu débuter en Suisse. Une éventuelle escroquerie pourrait par conséquent avoir été commise en Suisse. Il faut en déduire qu’il n’était pas possible de classer la procédure relative à l’infraction d’escroquerie pour le motif que la compétence territoriale de la Suisse n’était pas donnée. Cette conclusion s’impose d’autant plus que l’enrichissement pourrait s’être produit en Suisse où réside A.B.________. C’est donc à tort que le Ministère public a classé la procédure pour ce motif. On relèvera encore que l’absence du recourant lors de l’audience de confrontation n’est pas déterminante. En effet, il a produit un certificat médical pour justifier son absence et son attitude générale dans le cadre de la procédure démontre qu’il ne se désintéresse pas de celle-ci. En ce qui concerne le fond de la cause, à ce stade de la procédure, il est extrêmement difficile d’avoir une idée précise du projet immobilier envisagé par les parties en Pologne ainsi que des intentions réelles des prévenus. Il est toutefois assez troublant de constater que, lors de son audition du 24 février 2022, A.B.________ a refusé de répondre à la question de savoir s’il avait utilisé l’argent de P.________ pour l’exécution de ce projet immobilier ou pour un autre projet, sans son accord (PV aud. 3, l. 148), et que, lors de son audition du 29 juin 2022, il a à nouveau refusé de répondre à une question très similaire concernant l’utilisation de l’argent remis par le plaignant (PV aud 4, l. 82). Au demeurant, les appréciations du Ministère public, émises par surabondance, sont très générales. Elles sont uniquement basées sur des suppositions et des impressions. Le procureur s’est en effet contenté de mentionner que d’importantes démarches administratives avaient été entreprises par les prévenus et que A.B.________ s’était expliqué sur l’usage qu’il avait fait de l’argent investi par le plaignant. Or, comme on l’a vu précédemment, tel n’est absolument pas le cas. En l’état du dossier, il ne peut être exclu que P.________ ait été trompé, dès le début, sur la destination réelle de son investissement. Dans la mesure où un doute subsiste, il est prématuré de rendre une ordonnance de classement, dont les conditions ne sont pas réalisées pour l’infraction d’escroquerie et la cause doit être instruite. Pour ces motifs, il convient d’annuler l’ordonnance attaquée et de renvoyer le dossier au Ministère public pour qu’il instruise la cause.</w:t>
      </w:r>
    </w:p>
    <w:p>
      <w:r>
        <w:rPr>
          <w:b/>
        </w:rPr>
        <w:t>E. 3</w:t>
      </w:r>
    </w:p>
    <w:p>
      <w:r>
        <w:t>Au vu de ce qui précède, le recours doit être admis, l’ordonnance entreprise annulée et la cause renvoyée au Ministère public pour qu’il procède dans le sens des considérants. Les frais de la présente procédure, constitués du seul émolument d’arrêt, par 1’540 fr. (art. 20 al. 1 TFIP [Tarif des frais de procédure et indemnités en matière pénale du 28 septembre 2010 ; BLV 312.03.1]), seront laissés à la charge de l’Etat (art. 428 al. 4 CPP). Le recourant, qui obtient gain de cause et qui a procédé avec l’assistance d’un conseil de choix, a droit à une indemnité pour les dépenses occasionnées par l’exercice raisonnable de ses droits pour la procédure de recours. Au vu du mémoire produit, cette indemnité sera fixée à 900 fr. (3 heures au tarif horaire de 300 fr.), auxquels il convient d’ajouter des débours forfaitaires à concurrence de 2 % (cf. art. 19 al. 2 TDC [Tarif des dépens en matière civile du 23 novembre 2010 ; BLV 270.11.6], applicable par renvoi de l’art. 26a al. 6 TFIP), par 18 fr., plus un montant correspondant à la TVA, par 70 fr. 70, soit à 989 fr. au total en chiffres arrondis. Cette indemnité sera laissée à la charge de l’Etat, à l’instar des frais. Par ces motifs, la Chambre des recours pénale prononce : I. Le recours est admis. II. L’ordonnance du 2 septembre 2022 est annulée. III. Le dossier de la cause est renvoyé au Ministère public de l’arrondissement de l’Est vaudois pour qu’il procède dans le sens des considérants. IV. Une indemnité de 989 fr. (neuf cent huitante-neuf francs) est allouée à P.________ pour les dépenses occasionnées par la procédure de recours. V. Les frais d’arrêt, par 1’540 fr. (mille cinq cent quarante francs), ainsi que l’indemnité allouée à P.________, par 989 fr. (neuf cent huitante-neuf francs), sont laissée à la charge de l’Etat. VI. L’arrêt est exécutoire. La présidente :               La greffière : Du Le présent arrêt, dont la rédaction a été approuvée à huis clos, est notifié, par l'envoi d'une copie complète, à : - Me Jaroslaw Grabowski, avocat (pour P.________), - Me Patrick Michod, avocat (pour A.B.________), - Me Mitra Sohrabi, avocate (pour B.B.________), - Ministère public central, et communiqué à : ‑ Monsieur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