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137 vom 27. Februar 2023</w:t>
      </w:r>
    </w:p>
    <w:p>
      <w:r>
        <w:t>VD Tribunal cantonal, 2023-02-27, FR</w:t>
      </w:r>
    </w:p>
    <w:p>
      <w:r>
        <w:rPr>
          <w:b/>
        </w:rPr>
        <w:t xml:space="preserve">Quelle: </w:t>
      </w:r>
      <w:r>
        <w:t>https://mcp.opencaselaw.ch/entscheid/vd_findinfo_D_cision___2023___137</w:t>
      </w:r>
    </w:p>
    <w:p>
      <w:r>
        <w:t>FR: VD_FINDINFO Décision / 2023 / 137 du 27 février 2023</w:t>
      </w:r>
    </w:p>
    <w:p>
      <w:r>
        <w:t>IT: VD_FINDINFO Décision / 2023 / 137 del 27 febbraio 2023</w:t>
      </w:r>
    </w:p>
    <w:p>
      <w:pPr>
        <w:pStyle w:val="Heading2"/>
      </w:pPr>
      <w:r>
        <w:t>Regeste</w:t>
      </w:r>
    </w:p>
    <w:p>
      <w:r>
        <w:t>DÉTENTION PROVISOIRE, SOUPÇON, PRINCIPE DE LA CÉLÉRITÉ | 221 CPP (CH), 228 al. 1 CPP (CH), 5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2 mai 2022/299 consid. 1.1 ; CREP 4 avril 2022/235 consid. 1.1 ; CREP 16 décembre 2021/1140 consid. 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En vertu de l’art. 228 al. 1 CPP, le prévenu peut présenter en tout temps une demande de libération de la détention provisoire. Cette demande doit être admise si les conditions de la détention provisoire ne sont pas ou plus remplies.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conteste l’existence de soupçons suffisants de culpabilité à son encontre. Il soutient que depuis son arrestation, aucun élément ne viendrait renforcer les soupçons sérieux retenus par le Tribunal des mesures de contrainte dans son ordonnance du 7 février 2023. Il n’y aurait en particulier aucune information au sujet de l’extraction des données de son téléphone portable et il n’aurait jamais été interrogé sur la photographie d’une liasse de billets de 100 fr. que contenait cet appareil.</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 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1B_88/2022 du 29 mars 2022 consid. 2.1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 e éd., Bâle 2014, n. 3 ad art. 221 CPP).</w:t>
      </w:r>
    </w:p>
    <w:p>
      <w:r>
        <w:rPr>
          <w:b/>
        </w:rPr>
        <w:t>E. 3.3</w:t>
      </w:r>
    </w:p>
    <w:p>
      <w:r>
        <w:t>En l’occurrence, s’agissant des soupçons sérieux pesant sur le prévenu, le Tribunal des mesures de contrainte s’est référé à la motivation de sa précédente ordonnance, considérant qu’elle gardait toute sa pertinence, aucun élément nouveau n’étant venu la relativiser depuis lors. Il ressortait en outre du procès-verbal des opérations que l’analyse des données téléphoniques du prévenu et de ses comparses était toujours en cours (mention du 26 janvier 2023). Dans son ordonnance du 26 décembre 2022, le Tribunal des mesures de contrainte a retenu qu’U.________ et I.________ avaient été observés par la police en train d’effectuer des repérages, selon un modus operandi bien établi, avant d’être interpellés à bord du véhicule immatriculé [...] identifié dans deux cas commis les 21 novembre et 16 décembre 2022, pour lesquels U.________ et I.________ étaient formellement mis en cause. Concernant ce véhicule et sa date d’acquisition, les déclarations d’O.________ avaient été à géométrie variable, étant toutefois précisé que selon ses propres dires, il en aurait été le détenteur à tout le moins depuis le 10 décembre 2022. O.________ avait en outre concédé avoir été en compagnie des deux autres prévenus, le 16 décembre 2022, tout en restant particulièrement évasif. De même, il avait tout d’abord exposé qu’il n’était jamais venu en Suisse, avant d’admettre que tel avait été le cas à quatre ou cinq reprises depuis l’achat du véhicule incriminé – pour des motifs qui ne convainquaient guère –, avant de faire une fois de plus volte-face devant le Procureur, à qui il avait déclaré que c’était la première fois qu’il se trouvait sur le territoire. Ces premiers éléments d’enquête fondaient, à ce stade précoce de l’enquête, un faisceau de présomptions suffisant qui remplissait la première condition posée par l’art. 221 al. 1 CPP. Cette appréciation demeure pertinente. Peu importe que les charges pesant à l’encontre du prévenu n’aient pas évolué depuis cette première ordonnance encore relativement récente puisque rendue il y a à peine deux mois. L’enquête étant encore à ses débuts, ces charges sont manifestement concrètes et suffisantes. Le recourant ne cherche d’ailleurs pas à démontrer le contraire. Non seulement, il a reconnu être le détenteur du véhicule impliqué dans deux cas clairement établis (soit ceux des 21 novembre et 16 décembre 2022) mais, de surcroît, il a admis avoir été en présence des coprévenus, qui sont défavorablement connus des services de police pour des faits de même nature et ont été filmés à plusieurs reprises par des caméras de surveillance alors qu’ils passaient à l’acte. Le recourant s’est également clairement contredit quant à la date de sa venue en Suisse et ses explications sur les raisons de sa présence dans le pays ne sont pas convaincantes. Enfin, son téléphone portable contient une photographie d’une liasse d’une vingtaine de billets de 100 fr., prise le 22 décembre 2022. Au vu de ces éléments, les soupçons pesant sur le recourant, à tout le moins d’être impliqué dans les faits litigieux en qualité de chauffeur, sont donc toujours suffisants pour le maintenir en détention provisoire. Mal fondé, le moyen doit être rejeté.</w:t>
      </w:r>
    </w:p>
    <w:p>
      <w:r>
        <w:rPr>
          <w:b/>
        </w:rPr>
        <w:t>E. 4.1</w:t>
      </w:r>
    </w:p>
    <w:p>
      <w:r>
        <w:t>Le recourant se plaint ensuite d’une violation du principe de célérité, faisant valoir qu’il n’aurait plus été entendu depuis le 24 décembre 2022, qu’aucune nouvelle audition ne serait prévue et qu’il n’aurait aucun antécédent judiciaire, de sorte qu’il pourrait très vraisemblablement bénéficier d’un sursis.</w:t>
      </w:r>
    </w:p>
    <w:p>
      <w:r>
        <w:rPr>
          <w:b/>
        </w:rPr>
        <w:t>E. 4.2</w:t>
      </w:r>
    </w:p>
    <w:p>
      <w:r>
        <w:t>Les art. 29 al. 1 Cst. et 5 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 Selon la jurisprudence,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 ATF 137 IV 118 consid. 2.1 ; ATF 137 IV 92 consid. 3.1 et les arrêts cités ; TF 1B_637/2022 du 26 janvier 2023 consid. 3.1).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 ATF 124 I 139 consid. 2c).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et les références). En cas de retard de moindre gravité, des injonctions particulières peuvent être données, comme la fixation d'un délai de détention maximum. C'est au surplus au juge du fond qu'il appartient, cas échéant, par une réduction de peine de tenir compte d'une violation de l'obligation de célérité (ATF 128 I 149 consid. 2.2.2).</w:t>
      </w:r>
    </w:p>
    <w:p>
      <w:r>
        <w:rPr>
          <w:b/>
        </w:rPr>
        <w:t>E. 4.3</w:t>
      </w:r>
    </w:p>
    <w:p>
      <w:r>
        <w:t>En l’espèce, la durée de la détention du recourant n’a pas dépassé les trois mois fixés par le Tribunal des mesures de contrainte dans sa première ordonnance. Rien ne permet en outre de conclure que l’enquête ne serait pas menée activement, étant précisé que les cas qui doivent être investigués sont nombreux. Les données extraites des téléphones portables des prévenus doivent encore être analysées. Même si aucune localisation de l’appareil du recourant en Suisse ne semble avoir été mise en évidence, le solde des données, notamment des photographies et des autres documents, doit encore être examiné. Enfin, l’analyse des données provenant des appareils des coprévenus sont également de nature à impliquer le recourant. On ne distingue par conséquent aucune violation du principe de célérité, ni a fortiori un manquement grave faisant au surplus apparaître que l’autorité de poursuite n’est plus en mesure de conduire la procédure à chef dans un délai raisonnable. Le moyen doit donc être rejeté, ainsi que la conclusion constatatoire qui lui est liée.</w:t>
      </w:r>
    </w:p>
    <w:p>
      <w:r>
        <w:rPr>
          <w:b/>
        </w:rPr>
        <w:t>E. 5</w:t>
      </w:r>
    </w:p>
    <w:p>
      <w:r>
        <w:t>Pour le surplus, le recourant ne conteste pas les risques de fuite et de collusion retenus par le Tribunal des mesures de contrainte. Il n’y a donc pas lieu d’y revenir, d’autant moins que ces risques demeurent à l’évidence concrets, le prévenu étant un ressortissant roumain sans attache avec la Suisse et les investigations étant toujours en cours pour circonscrire l’ampleur de son activité délictueuse. Comme l’a retenu le premier juge, aucune mesure de substitution n’est à même de pallier ces risques. De même, la proportionnalité de la durée de la détention demeure respectée (art. 212 al. 3 CPP), le recourant encourant concrètement, au regard des infractions envisagées, une peine d’une durée encore supérieure à la période de détention provisoire qu’il a subie à ce jour.</w:t>
      </w:r>
    </w:p>
    <w:p>
      <w:r>
        <w:rPr>
          <w:b/>
        </w:rPr>
        <w:t>E. 6</w:t>
      </w:r>
    </w:p>
    <w:p>
      <w:r>
        <w:t>Il résulte de ce qui précède que le recours, manifestement mal fondé, doit être rejeté sans échange d’écritures (art. 390 al. 2 CPP) et l’ordonnance entreprise confirmée. Au vu de la liste des opérations qu’il a produites et dont il n’y a pas lieu de s’écarter, une indemnité de défenseur d'office fixée à 540 fr. sera allouée à Me Fabien Mingard, correspondant à une activité alléguée de trois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10 fr. 80, plus la TVA au taux de 7,7 %, par 42 fr. 40, soit à 594 fr. au total en chiffres arrondis. Vu le sort du recours, les frais de la procédure, constitués en l’espèce de l’émolument d'arrêt, par 1’210 fr. (art. 20 al. 1 TFIP), et des frais imputables à la défense d’office d’O.________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7 février 2023 est confirmée. III. L’indemnité allouée au défenseur d’office d’O.________ est fixée à 594 fr. (cinq cent nonante-quatre francs). IV. Les frais d’arrêt, par 1’210 fr. (mille deux cent dix francs), ainsi que l’indemnité due au défenseur d’office du recourant, par 594 fr. (cinq cent nonante-quatre francs), sont mis à la charge d’O.________. V. Le remboursement à l’Etat de l’indemnité allouée au chiffre III ci-dessus ne sera exigible que pour autant que la situation financière d’O.________ le permette. VI. L’arrêt est exécutoire. La présidente :               La greffière : Du Le présent arrêt, dont la rédaction a été approuvée à huis clos, est notifié, par l'envoi d'une copie complète, à : - Me Fabien Mingard, avocat (pour O.________), - Ministère public central, et communiqué à : ‑ Mme la Présidente du Tribunal des mesures de contrainte,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