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133 vom 23. Februar 2023</w:t>
      </w:r>
    </w:p>
    <w:p>
      <w:r>
        <w:t>VD Tribunal cantonal, 2023-02-23, FR</w:t>
      </w:r>
    </w:p>
    <w:p>
      <w:r>
        <w:rPr>
          <w:b/>
        </w:rPr>
        <w:t xml:space="preserve">Quelle: </w:t>
      </w:r>
      <w:r>
        <w:t>https://mcp.opencaselaw.ch/entscheid/vd_findinfo_D_cision___2023___133</w:t>
      </w:r>
    </w:p>
    <w:p>
      <w:r>
        <w:t>FR: VD_FINDINFO Décision / 2023 / 133 du 23 février 2023</w:t>
      </w:r>
    </w:p>
    <w:p>
      <w:r>
        <w:t>IT: VD_FINDINFO Décision / 2023 / 133 del 23 febbraio 2023</w:t>
      </w:r>
    </w:p>
    <w:p>
      <w:pPr>
        <w:pStyle w:val="Heading2"/>
      </w:pPr>
      <w:r>
        <w:t>Regeste</w:t>
      </w:r>
    </w:p>
    <w:p>
      <w:r>
        <w:t>AVOCAT D'OFFICE, REMPLACEMENT, ADMISSION DE LA DEMANDE | 134 al. 2 CPP (CH)</w:t>
      </w:r>
    </w:p>
    <w:p>
      <w:pPr>
        <w:pStyle w:val="Heading2"/>
      </w:pPr>
      <w:r>
        <w:t>Erwägungen</w:t>
      </w:r>
    </w:p>
    <w:p>
      <w:r>
        <w:rPr>
          <w:b/>
        </w:rPr>
        <w:t>E. 1</w:t>
      </w:r>
    </w:p>
    <w:p>
      <w:r>
        <w:t>; CREP 30 mars 2022/226 ; CREP 19 juillet 2019/583 ; Harari/Jakob/Santamaria, in : Jeanneret et al. [éd.], Commentaire romand, Code de procédure pénale suisse, 2e éd., Bâle 2019 [ci-après : CR-CPP], n. 25 ad art. 134 CPP). En l'espèce, le recours a été interjeté en temps utile (art. 396 al. 1 CPP), auprès de l’autorité compétente (art. 20 al. 1 let. b CPP et 13 LVCPP [Loi vaudoise d’introduction du Code de procédure pénale suisse du 19 mai 2009 ; BLV 312.01]), par la partie plaignante qui a un intérêt juridiquement protégé (art. 382 al. 1 CPP) à obtenir la modification d’une ordonnance du Ministère public rejetant sa requête de confier le mandat d'office à un autre mandataire (art. 134 al. 2 CPP). Par ailleurs, contrairement à ce que soutient Me Jean-Pierre Bloch dans sa réponse, Me Coralie Germond a produit une procuration datée du 15 décembre 2022 lors du dépôt de sa requête du même jour, de sorte qu’elle est au bénéfice d’une procuration valable et que le recours est recevable.</w:t>
      </w:r>
    </w:p>
    <w:p>
      <w:r>
        <w:rPr>
          <w:b/>
        </w:rPr>
        <w:t>E. 2.1</w:t>
      </w:r>
    </w:p>
    <w:p>
      <w:r>
        <w:t>A titre de mesure d’instruction, le recourant a requis que la Chambre des recours pénale procède à son audition, notamment pour pouvoir exposer plus amplement les raisons de la rupture du lien de confiance.</w:t>
      </w:r>
    </w:p>
    <w:p>
      <w:r>
        <w:rPr>
          <w:b/>
        </w:rPr>
        <w:t>E. 2.2</w:t>
      </w:r>
    </w:p>
    <w:p>
      <w:r>
        <w:t>Aux termes de l’art. 397 al. 1 CPP, le recours fait l’objet d’une procédure écrite ; dans ce cadre, des débats ne sont ordonnés qu’exceptionnellement (art. 390 al. 5 CPP), notamment lorsque des preuves complémentaires doivent être administrées en application de l’art. 389 al. 3 CPP (TF 6B_528/2021 du 10 novembre 2022 consid. 3.3.1 et les réf. cit.).</w:t>
      </w:r>
    </w:p>
    <w:p>
      <w:r>
        <w:rPr>
          <w:b/>
        </w:rPr>
        <w:t>E. 2.3</w:t>
      </w:r>
    </w:p>
    <w:p>
      <w:r>
        <w:t>En l’espèce, il n’y a pas lieu de procéder à l’audition requise. Le recourant a pu exposer ses arguments dans son acte de recours, de sorte que son droit d’être entendu a été respecté. Il ne fait en outre valoir aucun motif qui justifierait de faire exception au principe selon lequel la procédure de recours est écrite. Du reste, le dossier est suffisamment complet pour statuer sur le recours. La réquisition de preuve présentée par le recourant doit par conséquent être rejetée.</w:t>
      </w:r>
    </w:p>
    <w:p>
      <w:r>
        <w:rPr>
          <w:b/>
        </w:rPr>
        <w:t>E. 3.1</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Cette disposition est applicable par analogie à la révocation et au remplacement du conseil juridique gratuit en vertu de l’art. 137 CPP. 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6B_1067/2021 du 11 avril 2022 consid. 1.3 et les réf. cit.).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précité ; TF 1B_285/2019 du 27 juin 2019 consid. 2). Dans les limites de la loi, les avocats stagiaires peuvent, sous la direction et responsabilité de leur maître de stage, conseiller, assister et représenter les parties devant les juridictions civile, pénale et administrative (art. 28 LPAV).</w:t>
      </w:r>
    </w:p>
    <w:p>
      <w:r>
        <w:rPr>
          <w:b/>
        </w:rPr>
        <w:t>E. 3.2</w:t>
      </w:r>
    </w:p>
    <w:p>
      <w:r>
        <w:t>En l’espèce, H.________ a été victime d’une tentative d’assassinat à la machette ; il a été grièvement blessé et il est au bénéfice d’une rente AI. L’enquête, qui est complexe, se poursuit, trois prévenus étant en détention depuis de nombreux mois. Or, aucune disposition légale n’interdit au conseil désigné d’office de confier le mandat à son stagiaire pour autant que ce dernier travaille sous la direction et la responsabilité de son maître de stage. Au demeurant, s’agissant de la défense du prévenu, le Tribunal fédéral a précisé que bien que le CPP ne permette pas de désigner comme défenseur d'office un avocat stagiaire (cf. art. 127 al. 5 CPP cum art. 133 CPP), cette loi n'interdit pas que l'avocat stagiaire puisse assurer tout ou partie de la défense d'un prévenu, en "se substituant à" ou "en excusant" l'avocat en charge et sous la responsabilité de celui-ci (ATF 146 II 309 consid. 4.4.4 ; TF 6B_659/2017 du 6 mars 2018 consid. 2.1 et TF 6B_856/2014 du 10 juillet 2015 consid. 2.1). Dès lors que le CPP ne prévoit pas pour la partie plaignante une restriction identique, on ne saurait se montrer plus strict s’agissant du conseil juridique gratuit, ceci même si l’avis de désignation du conseil délivré par le Ministère public mentionne que le mandat de conseil juridique gratuit est personnel et non transmissible, le Ministère public autorisant toutefois l’avocat désigné, lorsque les impératifs de la procédure préliminaire le justifient, à déléguer sous sa propre responsabilité, certaines opérations à un associé, un collaborateur ou à un stagiaire de son étude. Dans le cas particulier, on ne saurait retenir que H.________ a pu ignorer la qualité de stagiaire de Semsudin Etemi, dès lors que notamment l’en-tête du papier à lettres de l’étude de Me Jean-Pierre Bloch le mentionne en cette qualité. Me Jean-Pierre Bloch a au surplus signé des courriers à l’intention du Ministère public. En outre, on ne saurait retenir que le mandat de Me Coralie Germond a été révoqué en mai 2021 au motif que le lien de confiance avait été rompu, dès lors que cette dernière a contesté que tel était le cas, dans sa lettre du 16 avril 2021, prenant acte du fait que son mandant souhaitait changer d’avocat car Me Jean-Pierre Bloch traitait d’autres affaires le concernant. Il est par ailleurs admis que l’activité de conseil a été effectuée par le stagiaire de Me Jean-Pierre Bloch. Ce dernier n’a en outre pas contesté l’allégation selon laquelle ce stagiaire n’avait pas personnellement rencontré son client et n’avait pas eu de contact avec lui. De plus, il a d’abord été indiqué que le stagiaire était « actuellement absent », alors qu’il n’était plus inscrit au registre des avocats-stagiaires. Surtout, l’absence de Semsudin Etemi à l’étude s’est prolongée, sans que le client semble avoir été informé de celle-ci, ni de ses motifs, Me Jean-Pierre Bloch ne donnant au demeurant aucune explication à cet égard dans le cadre de la procédure de recours. Or, dans la mesure où la délivrance des brevets d’avocat est publiée dans la Feuille des avis officiels, on ne peut que déduire de l’absence de mention de Semsudin Etemi qu’il a renoncé à se présenter aux examens ou qu’il a échoué. Dans ces circonstances, soit en particulier l’absence prolongée et inexpliquée du stagiaire en charge du dossier, il y a lieu d’admettre que le lien de confiance est objectivement rompu, Me Jean-Pierre Bloch apparaissant ne pas avoir pris soin de la continuation de l’assistance du recourant.</w:t>
      </w:r>
    </w:p>
    <w:p>
      <w:r>
        <w:rPr>
          <w:b/>
        </w:rPr>
        <w:t>E. 4</w:t>
      </w:r>
    </w:p>
    <w:p>
      <w:r>
        <w:t>En définitive, le recours doit être admis et l’ordonnance attaquée réformée en ce sens que Me Coralie Germond est désignée en qualité de conseil juridique gratuit de H.________ en remplacement de Me Jean-Pierre Bloch, qui est relevé de son mandat, dès le 15 décembre 2022, date à laquelle la demande a été déposée. Partant, la requête tendant à la désignation de Me Coralie Germond comme conseil juridique gratuit de H.________ pour la procédure de recours est sans objet. Il appartiendra à la Procureure de l’arrondissement de Lausanne de statuer sur le montant de l’indemnité d’office due à Me Jean-Pierre Bloch. Les frais de la procédure de recours, constitués de l'émolument d'arrêt, par 990 fr. (art. 20 al. 1 TFIP [Tarif des frais de procédure et indemnités en matière pénale du 28 septembre 2010 ; BLV 312.03.1]), et des frais imputables à l’assistance judiciaire gratuite (art. 422 al. 2 let. a CPP), qui seront fixés à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45, soit à 594 fr. au total en chiffres arrondis, seront, vue l’issue de recours, laissés à la charge de l’Etat (art. 423 al. 1 CPP). Par ces motifs, la Chambre des recours pénale prononce : I. Le recours est admis. II. L’ordonnance du 13 janvier 2023 est réformée en ce sens que Me Jean-Pierre Bloch est relevé de sa mission de conseil juridique gratuit de H.________ avec effet au 15 décembre 2022 et que Me Coralie Germond est désignée en qualité de conseil juridique gratuit de H.________ dès cette date. Elle est confirmée pour le surplus. III. La requête tendant à la désignation de Me Coralie Germond en qualité de conseil juridique gratuit de H.________ pour la procédure de recours est sans objet et l’indemnité de Me Coralie Germond pour la procédure de recours est fixée à 594 fr. (cinq cent nonante-quatre francs). IV. Les frais d’arrêt, par 990 fr. (neuf cent nonante francs), ainsi que l’indemnité due au conseil juridique gratuit de H.________, par 594 fr. (cinq cent nonante-quatre francs), sont laissés à la charge de l’Etat. V. L’arrêt est exécutoire. La présidente :               La greffière : Du Le présent arrêt, dont la rédaction a été approuvée à huis clos, est notifié, par l'envoi d'une copie complète, à : - Me Jean-Pierre Bloch, avocat, - Me Coralie Germond, avocate (pour H.________),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