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 vom 30. Dezember 2022</w:t>
      </w:r>
    </w:p>
    <w:p>
      <w:r>
        <w:t>VD Tribunal cantonal, 2022-12-30, FR</w:t>
      </w:r>
    </w:p>
    <w:p>
      <w:r>
        <w:rPr>
          <w:b/>
        </w:rPr>
        <w:t xml:space="preserve">Quelle: </w:t>
      </w:r>
      <w:r>
        <w:t>https://mcp.opencaselaw.ch/entscheid/vd_findinfo_D_cision___2023___1</w:t>
      </w:r>
    </w:p>
    <w:p>
      <w:r>
        <w:t>FR: VD_FINDINFO Décision / 2023 / 1 du 30 décembre 2022</w:t>
      </w:r>
    </w:p>
    <w:p>
      <w:r>
        <w:t>IT: VD_FINDINFO Décision / 2023 / 1 del 30 dicembre 2022</w:t>
      </w:r>
    </w:p>
    <w:p>
      <w:pPr>
        <w:pStyle w:val="Heading2"/>
      </w:pPr>
      <w:r>
        <w:t>Regeste</w:t>
      </w:r>
    </w:p>
    <w:p>
      <w:r>
        <w:t>SOUPÇON, RISQUE DE RÉCIDIVE, PROPORTIONNALITÉ |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prévenu détenu qui a qualité pour recourir (art. 222 et 382 al. 1 CPP) et dans les formes prescrites (art. 385 al. 1 CPP), le recours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w:t>
      </w:r>
    </w:p>
    <w:p>
      <w:r>
        <w:rPr>
          <w:b/>
        </w:rPr>
        <w:t>E. 3</w:t>
      </w:r>
    </w:p>
    <w:p>
      <w:r>
        <w:t>Le recourant conteste l’existence de soup­çon suffisant. Il fait en particulier valoir qu’il n’a pas proféré des menaces à l’encontre de son ex-femme. Il soutient pour le reste qu’il ne s’est pas approché du domicile de son ex-belle-mère le 16 septembre 2022, pas plus qu’il n’a eu de comportement répréhensible durant les six heures qui se sont écoulées entre les propos tenus à l’intention de Me [...] et son arrestation. Il ajoute que ces propos n’ont pas été tenus en présence d’[...], laquelle n’en a eu connaissance que lorsqu’ils lui ont été rapportés par la police. Il soutient enfin qu’en tout état de cause, l’infraction de menaces ne serait pas réalisée, dès lors qu’il ne s’agissait que de paroles délirantes qui ne sauraient suffire à constituer une menace grave et qu’[...] n’en a d’ailleurs pas été alarmée ni effrayée.</w:t>
      </w:r>
    </w:p>
    <w:p>
      <w:r>
        <w:rPr>
          <w:b/>
        </w:rPr>
        <w:t>E. 3.1.1</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ATF 143 IV 316 consid. 3.2; TF 1B_572/2021 du 5 novembre 2021 consid. 2.1; TF 1B_139/2020 du 15 avril 2020 consid. 3.1; TF 1B_219/2019 du 4 juin 2019 consid. 2.1). A l'instar du juge du séquestre, le juge de la détention n'est toutefois pas tenu, à ce stade de la procédure, de résoudre des questions juridiques complexes (ATF 141 IV 360 consid. 3.2;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TF 1B_308/2018 du 17 juillet 2018 consid. 2.1).</w:t>
      </w:r>
    </w:p>
    <w:p>
      <w:r>
        <w:rPr>
          <w:b/>
        </w:rPr>
        <w:t>E. 3.1.2</w:t>
      </w:r>
    </w:p>
    <w:p>
      <w:r>
        <w:t>Selon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ATF 106 IV 125 consid. 2a, JdT 1981 IV 106; TF 6B_1054/2021 du 11 mars 2022 consid. 3.1; TF 6B_508/2021 du 14 janvier 2022 consid. 2.1), ni que l’auteur ait réellement la volonté de réaliser sa menace (ATF 122 IV 322 consid. 1a; ATF 105 IV 120 consid. 2a, JdT 1980 IV 115; TF 6B_508/2021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TF 6B_1314/2018 du 29 janvier 2019 consid. 3.2.1). Les menaces de lésions corporelles graves ou de mort doivent être considérées comme des menaces graves au sens de l’art. 180 CP (TF 6B_787/2018 du 1 er octobre 2018 consid. 3.1;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ATF 119 IV 1 consid. 5a; TF 6B_508/2021 précité; TF 6B_135/2021 du 27 septembre 2021 consid. 3.1).</w:t>
      </w:r>
    </w:p>
    <w:p>
      <w:r>
        <w:rPr>
          <w:b/>
        </w:rPr>
        <w:t>E. 3.2</w:t>
      </w:r>
    </w:p>
    <w:p>
      <w:r>
        <w:t>En l’espèce, on peut donner acte au recourant que les soupçons initiaux de menaces à l’encontre de son ex-épouse ne se sont pas confirmés (cf. PV aud. 5, R. 5; rapport de police du 8 novembre 2022, p. 6). En revanche, lors de son audition du 21 septembre 2022, Me [...] a clairement indiqué que le recourant s’était présenté à l’Etude le 16 septembre 2022 en arborant un masque de Spiderman comme couvre-chef et qu’il sentait alors fortement l’alcool. Elle a ajouté être ensuite descendue avec lui en empruntant l’ascenseur afin de rejoindre la sortie du bâtiment et qu’il lui avait alors dit ce qui suit : « Je vais à [...], ma belle-mère va enfin payer pour tout le mal qu’elle m’a fait. Demain je serai dans les journaux et la semaine prochaine on assistera à ses obsèques ». Elle a par ailleurs précisé que l’état d’alcoolisation et les propos de son interlocuteur lui avaient fait peur (PV aud. 5, R. 5, p. 3). Il n’y a, à ce stade, aucun motif qui permettrait de douter de la véracité de ce témoignage. Le recourant ne le soutient d’ailleurs pas. Le fait qu’il ne se soit rien passé dans les heures qui ont suivi n’enlève rien à la gravité des propos tenus. Ces derniers étaient en outre manifestement de nature à effrayer Me [...], étant rappelé que l’événement préjudiciable annoncé par l’auteur de la menace peut également viser un bien juridique appartenant à un tiers (TF 6B_192/2012 du 10 septembre 2012 consid. 1.1). Il est vrai que l’infraction de menaces n’entre toutefois pas en ligne de compte en ce qui la concerne, puisqu’elle n’a à ce jour pas déposé de plainte. Ces propos étaient toutefois également et évidemment susceptibles d’alarmer [...] qui a, elle, déposé plainte. Le fait qu’elle n’ait pas été présente au moment où ils ont été proférés n’exclut pas la qualification de menaces, dans la mesure où, selon la jurisprudence, il suffit que les menaces soient rapportées de manière indirecte à la victime (TF 6B_578/2016 du 19 août 2016 consid. 2.1 et les réf. citées). [...] a d’ailleurs précisé qu’elle considérait le recourant comme dangereux, ajoutant qu’elle pensait qu’il pourrait mettre ses menaces à exécution (PV aud. 4, R. 6). Comme relevé par le Tribunal fédéral, le fait que cette dernière a déposé plainte rapidement après avoir été informée desdits propos démontre qu’elle s’est sentie effrayée (TF 1B_581/2022 précité consid. 2.2). Par ailleurs, comme relevé également par le Tribunal fédéral, le fait que le recourant ait été condamné à plusieurs reprises pour menaces plaide aussi en sa défaveur (ibidem). Le moyen du recourant doit donc être rejeté.</w:t>
      </w:r>
    </w:p>
    <w:p>
      <w:r>
        <w:rPr>
          <w:b/>
        </w:rPr>
        <w:t>E. 4.1</w:t>
      </w:r>
    </w:p>
    <w:p>
      <w:r>
        <w:t>Le recourant conteste ensuite l’existence d’un risque de réitération. Il soutient que de nombreux éléments dossier permettraient de constater qu’il n’est pas violent. Il se prévaut particulier du fait qu’il a récemment rencontré son ex-belle-mère et son ex-femme sans que des incidents ne se produisent.</w:t>
      </w:r>
    </w:p>
    <w:p>
      <w:r>
        <w:rPr>
          <w:b/>
        </w:rPr>
        <w:t>E. 4.2</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JdT 2020 IV 264; ATF 143 IV 9 consid. 2.5; TF 1B_176/2022 du 21 avril 2022 consid. 3.1; TF 1B_570/2021 du 9 novembre 2021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(ATF 146 IV 326 consid. 3.1 et les arrêts cités; ATF 143 IV 9 consid. 2.3.1; TF 1B_549/2021 du 21 octobre 2021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(ATF 146 IV 326 consid. 3.1; ATF 143 IV 9 consid. 2.6 et 2.7; TF 1B_570/2021 du 9 novembre 2021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ATF 143 IV</w:t>
      </w:r>
    </w:p>
    <w:p>
      <w:r>
        <w:rPr>
          <w:b/>
        </w:rPr>
        <w:t>E. 4.3</w:t>
      </w:r>
    </w:p>
    <w:p>
      <w:r>
        <w:t>En l’espèce, il est évident que le fait que le recourant soit parvenu à croiser son ex-belle-mère et son ex-épouse à une reprise sans que cela ne dégénère ne suffit pas à exclure l’existence d’un risque de récidive. Ce moyen est donc vain. Pour le reste, comme l’a considéré la Cour de céans dans son dernier arrêt, confirmé par le Tribunal fédéral, les propos menaçants reprochés au recourant sont graves et particulièrement inquiétants, abstraction faite même de ceux que l’enquête n’a depuis lors pas confirmés. Ils le sont d’autant plus si on les met en perspective avec les troubles psychiatriques et la propension à la boisson du prévenu. On relèvera ensuite que, dans un rapport d’expertise psychiatrique daté du 10 mars 2022, l’expert a considéré que le risque de récidive était très élevé en cas de décompensation maniaque et sous l’influence de l’alcool. Or, il ressort du dossier que l’intéressé paraît incapable de maitriser sa consommation d’alcool; il ne voit d’ailleurs aucune raison de cesser de boire (PV audition arrestation, l. 158). Par ailleurs, force est de constater que le prévenu a de nombreux antécédents, pour des infractions de menaces en particulier, et qu’il ne respecte pas les décisions de justice puisqu’il a admis, lors de son audition par la police, avoir à plusieurs reprises violé l’interdiction de contact prononcée à son encontre. Il a même clairement laissé entendre qu’il n’en avait pas grand-chose à faire. Enfin, on relèvera que le recourant est fortement remonté contre son ex-belle-mère, qu’il semble rendre responsable de tous ses problèmes. Cette animosité fait craindre une réitération d’agissements pénalement répréhensibles à l’encontre de cette dernière. L'intérêt à la sécurité publique doit ainsi prévaloir sur la liberté personnelle du prévenu, comme l’a d’ailleurs tout récemment confirmé le Tribunal fédéral dans son arrêt du 14 décembre 2022 (TF 1B_581/2022 précité consid. 3). Le grief doit donc être rejeté.</w:t>
      </w:r>
    </w:p>
    <w:p>
      <w:r>
        <w:rPr>
          <w:b/>
        </w:rPr>
        <w:t>E. 4.4</w:t>
      </w:r>
    </w:p>
    <w:p>
      <w:r>
        <w:t>L’existence d’un seul risque suffit pour justifier la détention provisoire, dès lors que les hypothèses prévues par l'art. 221 al. 1 CPP sont alternatives et non cumulatives. Dans ces conditions, la question de l’existence d’un risque de collusion, également invoqué par le Ministère public et que le Tribunal des mesures de contrainte a renoncé à examiner, peut demeurer indécise. 5. 5.1 Le recourant soutient enfin que la prolongation de sa détention provisoire contreviendrait au principe de la proportionnalité au vu de la durée de l’instruction depuis son incarcération. Il invoque que l’infraction de menaces n’est pas réalisée et que celle d’insoumission à une décision de l’autorité est uniquement passible d’une amende. Il soutient notamment que la prolongation de sa détention ne reposerait sur aucun élément objectif; en particulier, une peine privative de liberté d’une durée de six mois pour des menaces serait « largement excessive », notamment au vu du fait qu’il s’agit d’un événement unique qui s’est déroulé dans un cadre particulier (auprès de l’avocate stagiaire de son conseil). La durée de la détention serait donc excessive. 5.2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ATF 133 I 168 consid. 4.1; ATF 132 I 21 consid. 4.1). Toutefois, le fait que la peine encourue puisse être assortie du sursis, total ou partiel, n'est pas déterminant sous l'angle de la proportionnalité (ATF 133 I 270 consid. 3.4.2) . 5.3 En l’espèce, l’enquête se poursuit sans désemparer. Les faits reprochés peuvent s’avérer, à ce stade à tout le moins, constitutifs de voies de fait, d’injure, de menaces et d’insoumission à une décision de l’autorité, les infractions étant en concours; l’infraction de menaces est passible d’une peine privative de liberté de trois ans au plus ou d’une peine pécuniaire. Les antécédents du recourant sont significatifs. Contrairement à ce qu’il soutient, le recourant s’expose ainsi concrètement, en cas de condamnation, à une peine privative de liberté d’une durée sensiblement plus importante que celle de la détention provisoire subie du 16 septembre 2022 jusqu’à ce jour, respectivement à subir jusqu’au 15 mars 2023. Partant, le principe de la proportionnalité demeure respecté. 6. Le recourant ne soutient pas que des mesures de substitution à la détention provisoire pourraient être susceptibles d’atteindre le même but que celle-ci. A l’instar du Tribunal fédéral, au vu du risque retenu et de la problématique psychiatrique et alcoolique du recourant, il y lieu de considérer qu’aucune mesure de substitution n’est suffisante en l’état, en se référant au précédent arrêt de la Chambre de céans (TF 1B_581/2022 précité consid. 4; CREP 7 octobre 2022/748 consid. 4.2 et 5.2). 7. Il résulte de ce qui précède que le recours, manifestement mal fondé, doit être rejeté, sans échange d’écritures (art. 390 al. 2 CPP), et l’ordonnance du</w:t>
      </w:r>
    </w:p>
    <w:p>
      <w:r>
        <w:rPr>
          <w:b/>
        </w:rPr>
        <w:t>E. 9</w:t>
      </w:r>
    </w:p>
    <w:p>
      <w:r>
        <w:t>consid. 2.8; ATF 137 IV 84 consid. 3.2, JdT 2011 IV 325; TF 1B_234/2021 du 21 mai 2021 consid. 2.1).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ATF 143 IV 9 consid. 2.9; TF 1B_111/2022 du 18 mars 2022 consid. 3.1; TF 1B_570/2021 du 9 novembre 2021 consid. 3.1).</w:t>
      </w:r>
    </w:p>
    <w:p>
      <w:r>
        <w:rPr>
          <w:b/>
        </w:rPr>
        <w:t>E. 13</w:t>
      </w:r>
    </w:p>
    <w:p>
      <w:r>
        <w:t>décembre 2022 confirmée. Les frais de la procédure de recours, par 1’430 fr. (art. 20 al. 1 TFIP [tarif des frais de procédure et indemnités en matière pénale du 28 septembre 2010;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 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13 décembre 2022 est confirmée. III. L’indemnité allouée au défenseur d’office de P.________ est fixée à 594 fr. (cinq cent nonante-quatre francs). IV. Les frais d’arrêt, par 1’430 fr. (mille quatre cent trente francs), ainsi que l’indemnité due au défenseur d’office de P.________, par 594 fr. (cinq cent nonante-quatre francs), sont mis à la charge de ce dernier. V. Le remboursement à l'Etat de l'indemnité allouée au chiffre III ci-dessus ne sera exigible que pour autant que la situation financière de P.________ le permette. VI. L’arrêt est exécutoire. La présidente :               Le greffier : Du Le présent arrêt, dont la rédaction a été approuvée à huis clos, est notifié, par l'envoi d'une copie complète, à : - Me Jérôme Reymond, avocat (pour P.________),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