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978 vom 8. Dezember 2022</w:t>
      </w:r>
    </w:p>
    <w:p>
      <w:r>
        <w:t>VD Tribunal cantonal, 2022-12-08, FR</w:t>
      </w:r>
    </w:p>
    <w:p>
      <w:r>
        <w:rPr>
          <w:b/>
        </w:rPr>
        <w:t xml:space="preserve">Quelle: </w:t>
      </w:r>
      <w:r>
        <w:t>https://mcp.opencaselaw.ch/entscheid/vd_findinfo_D_cision___2022___978</w:t>
      </w:r>
    </w:p>
    <w:p>
      <w:r>
        <w:t>FR: VD_FINDINFO Décision / 2022 / 978 du 8 décembre 2022</w:t>
      </w:r>
    </w:p>
    <w:p>
      <w:r>
        <w:t>IT: VD_FINDINFO Décision / 2022 / 978 del 8 dicembre 2022</w:t>
      </w:r>
    </w:p>
    <w:p>
      <w:pPr>
        <w:pStyle w:val="Heading2"/>
      </w:pPr>
      <w:r>
        <w:t>Regeste</w:t>
      </w:r>
    </w:p>
    <w:p>
      <w:r>
        <w:t>DIRECTIVE{INJONCTION}, CONTRÔLE MÉDICAL, ENQUÊTE MÉDICALE, QUALITÉ POUR AGIR ET RECOURIR, INTÉRÊT JURIDIQUEMENT PROTÉGÉ | 86 al. 1 CP, 87 al. 2 CP, 94 CP, 382 al. 1 CPP (CH)</w:t>
      </w:r>
    </w:p>
    <w:p>
      <w:pPr>
        <w:pStyle w:val="Heading2"/>
      </w:pPr>
      <w:r>
        <w:t>Erwägungen</w:t>
      </w:r>
    </w:p>
    <w:p>
      <w:r>
        <w:rPr>
          <w:b/>
        </w:rPr>
        <w:t>E. 1.1</w:t>
      </w:r>
    </w:p>
    <w:p>
      <w:r>
        <w:t>L’art. 26 al. 1 let. a LEP (Loi sur l’exécution des condamnations pénales du 4 juillet 2006;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w:t>
      </w:r>
    </w:p>
    <w:p>
      <w:r>
        <w:rPr>
          <w:b/>
        </w:rPr>
        <w:t>E. 1.1.2</w:t>
      </w:r>
    </w:p>
    <w:p>
      <w:r>
        <w:t>et les réf. cit.). 2.2 En l’espèce, le recourant ne conteste pas qu’il remplit les conditions d’octroi de la libération conditionnelle conformément à l’art. 86 CP, ni n’invoque que l’ordonnance attaquée procéderait d’une fausse application de cette disposition. Il ne tente du reste pas de démontrer qu’il disposerait d’un intérêt juridiquement protégé à contester – ce qu’il fait implicitement en exposant qu’il aurait préféré terminer l’exécution de sa peine plutôt que d’être soumis à une règle de conduite – une décision lui étant plus favorable, de sorte que son argumentation à cet égard est irrecevable. Cela étant, c’est à tort que le recourant prétend n’avoir été contrôlé qu’à une seule reprise avec des traces de stupéfiants. En effet, il a été soumis à deux reprises à un test de dépistage s’étant révélé positif à la cocaïne, les 22 février et 26 novembre 2018 (cf. jugement du Tribunal correctionnel de l’arrondissement de la Broye et du Nord vaudois du 1 er mai 2018 (P. 3/1) et ordonnance pénale du Ministère public de l’arrondissement du Nord vaudois du 7 février 2019 (P. 3/3). La première de ces décisions mentionne au demeurant deux précédentes condamnations, en 2015, pour contraventions à la Loi fédérale sur les stupéfiants. L’expertise psychiatrique à laquelle il a été soumis en 2016 dans le cadre de l’instruction pénale menée par le Ministère public de l’arrondissement du Nord vaudois pour lésions corporelles simples qualifiées, voies de faits qualifiées, vol, dommages à la propriété, injure, menaces qualifiées, diffamation, contrainte et utilisation abusive d’une installation de télécommunication – infractions pour lesquelles il a été condamné le 1 er mai 2018 – mentionne un risque de récidive élevé, ainsi que des condamnations pour infractions graves à la Loi fédérale sur la circulation routière en 2009 et 2010 (cf. P. 3/8, pp. 7 et 13 s.). Ces éléments laissent craindre que l’intéressé commette des infractions sous l’emprise de produits stupéfiants, respectivement circule au volant d’un véhicule sous l’emprise de telles substances, étant rappelé qu’il a été condamné pour opposition ou dérobade aux mesures visant à déterminer l’incapacité de conduire (cf. P. 3/2 p. 9). Les contrôles d’abstinence imposés au recourant apparaissent ainsi adéquats, proportionnés et adaptés à sa situation. Ils tiennent compte des infractions en tout genre qu’il a commises et sont nécessaires, dans son intérêt, afin de limiter au maximum le risque de récidive. Ils se justifient d’autant plus que l’intéressé entend récupérer son permis de conduire. On ne voit au demeurant pas en quoi son activité professionnelle de storiste l’empêcherait de se soumettre ponctuellement à des contrôles d’abstinence. Au vu de ce qui précède, et notamment des principes exposés plus haut (cf. consid. 2.1 in fine ), le fait que le recourant ne serait pas un toxicomane dépendant – fait qu’il n’est pas nécessaire d’investiguer plus avant – n’est pas déterminant. Mal fondés, les arguments du recourant doivent être rejetés. 3. Au vu de ce qui précède, le recours, manifestement mal fondé, doit être rejeté dans la mesure de sa recevabilité, sans échange d'écritures (art. 390 al. 2 CPP), et l'ordonnance du 24 novembre 2022 confirmée. Les frais de la procédure de recours, constitués en l'espèce de l'émolument d'arrêt (art. 422 al. 1 CPP), par 1’100 fr. (art. 20 al. 1 TFIP), seront mis à la charge du recourant, qui succombe (art. 428 al. 1 CPP). Par ces motifs, la Chambre des recours pénale prononce : I. Le recours est rejeté dans la mesure où il est recevable. II. L’ordonnance du 24 novembre 2022 est confirmée. III. Les frais d’arrêt, par 1’100 fr. (mille cent francs), sont mis à la charge de F.________. IV. L’arrêt est exécutoire. La présidente :               Le greffier : Du Le présent arrêt, dont la rédaction a été approuvée à huis clos, est notifié, par l'envoi d'une copie complète, à : - M. F.________, - Ministère public central, et communiqué à : ‑ M. le Juge d’application des peines,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1.2</w:t>
      </w:r>
    </w:p>
    <w:p>
      <w:r>
        <w:t>En l’espèce, le recours a été interjeté en temps utile par le condamné qui a qualité pour recourir au sens de l’art. 382 al. 1 CPP – sous réserve de ce qui suit –, et dans les formes prescrites par la loi, de sorte qu’il est recevable. 2. Le recourant conteste la règle d’abstinence assortissant sa libération conditionnelle, et implicitement dite libération. Il fait valoir que dite règle serait injustifiée, dès lors qu’il n’aurait été arrêté qu’à une seule reprise avec des traces de produits stupéfiants et qu’il ne serait pas un toxicomane. Il soutient encore qu’il aurait préféré exécuter sa peine privative de liberté jusqu’à son terme et que son emploi en tant qu’indépendant, impliquant de fréquents déplacements, l’empêcherait de se soumettre à des analyses. 2.1 2.1.1 Aux termes de l’art. 382 al. 1 CPP, seule la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TF 6B_942/2016 du 7 septembre 2017 consid. 2.3, non publié aux ATF 143 IV 313). L'intérêt juridiquement protégé se distingue de l'intérêt digne de protection, qui n'est pas nécessairement un intérêt juridique, mais peut être un intérêt de fait. Un simple intérêt de fait ne suffit pas à conférer la qualité pour recourir (ATF 145 IV 161 consid. 3.1 ; ATF 136 I 274 consid. 1.3 ; ATF 133 IV 121 consid. 1.2 ; TF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et les références citées; TF 6B_1239/2017 du 24 mai 2018 consid. 2.1). 2.1.2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 10 janvier 2022/15 ; CREP 18 mai 2021/450 consid. 2.2.2; CREP 20 novembre 2017/794 consid. 1.4 ; CREP 19 janvier 2016/31 précité consid. 1.4 et les références citées). 2.1.3 Aux termes de l’art. 87 al. 2 CP, l’autorité d’exécution ordonne, en règle générale, une assistance de probation pour la durée du délai d’épreuve. Elle peut imposer des règles de conduite. Les règles de conduite sont régies par l’art. 94 CP. Cette disposition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 ATF 108 IV 152 consid. 3a ; ATF 106 IV 325 consid. 1 et les arrêts cités). Le choix et le contenu de la règle de conduite doivent s'inspirer de considérations pédagogiques, sociologiques et médicales (ATF 107 IV 88 consid. 3a).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(TF 6B_1339/2016 du 23 mars 2017 consid. 1.1.2 et les réf. cit. ; TF 6B_626/2008 du 11 novembre 2008 consid. 6.1). La règle de conduite de l’art. 94 CP ordonnant un suivi médical régulier (par exemple un contrôle d’urine) se différencie d’un traitement ambulatoire selon l’art. 63 CP sur plusieurs points ; en particulier, elle n’exige pas que le condamné souffre d’un grave trouble mental, soit toxicomane dépendant ou souffre d’une autre addiction ; il ne peut être affecté par l’un de ces troubles qu’à un faible degré (TF 6B_1339/2016 précité consid.</w:t>
      </w:r>
    </w:p>
    <w:p>
      <w:r>
        <w:rPr>
          <w:b/>
        </w:rPr>
        <w:t>E. 5</w:t>
      </w:r>
    </w:p>
    <w:p>
      <w:r>
        <w:t>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