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977 vom 19. Dezember 2022</w:t>
      </w:r>
    </w:p>
    <w:p>
      <w:r>
        <w:t>VD Tribunal cantonal, 2022-12-19, FR</w:t>
      </w:r>
    </w:p>
    <w:p>
      <w:r>
        <w:rPr>
          <w:b/>
        </w:rPr>
        <w:t xml:space="preserve">Quelle: </w:t>
      </w:r>
      <w:r>
        <w:t>https://mcp.opencaselaw.ch/entscheid/vd_findinfo_D_cision___2022___977</w:t>
      </w:r>
    </w:p>
    <w:p>
      <w:r>
        <w:t>FR: VD_FINDINFO Décision / 2022 / 977 du 19 décembre 2022</w:t>
      </w:r>
    </w:p>
    <w:p>
      <w:r>
        <w:t>IT: VD_FINDINFO Décision / 2022 / 977 del 19 dicembre 2022</w:t>
      </w:r>
    </w:p>
    <w:p>
      <w:pPr>
        <w:pStyle w:val="Heading2"/>
      </w:pPr>
      <w:r>
        <w:t>Regeste</w:t>
      </w:r>
    </w:p>
    <w:p>
      <w:r>
        <w:t>BRACELET ÉLECTRONIQUE, REJET DE LA DEMANDE | 79b CP, 4 al. 1 RESE</w:t>
      </w:r>
    </w:p>
    <w:p>
      <w:pPr>
        <w:pStyle w:val="Heading2"/>
      </w:pPr>
      <w:r>
        <w:t>Erwägungen</w:t>
      </w:r>
    </w:p>
    <w:p>
      <w:r>
        <w:rPr>
          <w:b/>
        </w:rPr>
        <w:t>E. 1.1</w:t>
      </w:r>
    </w:p>
    <w:p>
      <w:r>
        <w:t>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art. 80 LOJV [Loi vaudoise d’organisation judiciaire du 12 décembre 1979 ; BLV 173.01]).</w:t>
      </w:r>
    </w:p>
    <w:p>
      <w:r>
        <w:rPr>
          <w:b/>
        </w:rPr>
        <w:t>E. 1.2</w:t>
      </w:r>
    </w:p>
    <w:p>
      <w:r>
        <w:t>En l’espèce, interjeté dans le délai légal auprès de l’autorité compétente par une condamnée qui a qualité pour recourir (art. 382 al. 1 CPP), et satisfaisant aux exigences de forme prescrites (art. 385 al. 1 CPP), le recours est recevable. Il en va de même des pièces produites à l’appui du recours.</w:t>
      </w:r>
    </w:p>
    <w:p>
      <w:r>
        <w:rPr>
          <w:b/>
        </w:rPr>
        <w:t>E. 2</w:t>
      </w:r>
    </w:p>
    <w:p>
      <w:r>
        <w:t>2.1.1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2.1.2 En droit cantonal, les conditions de ce mode d’exécution font l’objet du RESE, qui précise les conditions découlant du droit fédéral. L’art. 2 RESE précise que la surveillance électronique n’est admissible qu’à la condition que la peine prononcée ou la durée totale des peines exécutables simultanément soit comprise entre vingt jours au minimum et douze mois au maximum (al. 1), que la détention provisoire ou pour des motifs de sûreté n’est pas prise en compte dans le calcul (principe brut) (al. 2) et que, pour les peines avec sursis partiel, la durée totale de la peine (partie avec sursis et partie ferme) est déterminante (al. 3). Cette disposition codifie la jurisprudence du Tribunal fédéral et la doctrine y relative, qui prévoient que, lorsque plusieurs peines privatives de liberté doivent être exécutées ensemble, c’est la durée totale des peines cumulées qui est déterminante ; il s’ensuit qu’il n’est pas admissible d’exiger d’exécuter séparément des peines inférieures – et donc de bénéficier des régimes plus favorables qui en dépendent – lorsque la durée totale des peines à exécuter est supérieure à douze mois (cf. TF 1B_56/2007 du 15 mai 2007 consid. 3.4 ; Koller, in : Niggli/Wiprächtiger [éd.], Basler Kommentar, Strafrecht I, 4 e éd., Bâle 2019, n. 13 ad art. 79b StGB et les références citées) ; la doctrine en déduit même que le régime de la surveillance électronique devrait être levé lorsque, en raison d’une nouvelle peine à exécuter, la durée excède douze mois (Koller, ibidem). 2.1.3 En outre, selon l’art. 4 al. 1 RESE, les conditions suivantes doivent être remplies pour bénéficier de la surveillance électronique : une demande de la personne condamnée (let. a) ; pas de crainte qu'elle s'enfuie (let. b) ; pas de crainte qu'elle commette d'autres infractions (let. c) ; une autorisation de séjour en Suisse et le droit de travailler, de suivre une formation ou d'exercer une activité au sens de la lettre f 2 e phrase (let. d) ; pas d'expulsion en vertu des art. 66a et 66a 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 même toit et leur accord pour que l'autorité d'exécution compétente puisse accéder en tout temps au logement, aussi sans annonce préalable, pendant la durée de l'EM [ndlr : Electronic Monitoring] (let. j) ; l'acceptation par la personne condamnée du plan d'exécution et de l'horaire hebdomadaire et son accord pour que l'autorité d'exécution compétente puisse accéder en tout temps au logement, aussi sans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w:t>
      </w:r>
    </w:p>
    <w:p>
      <w:r>
        <w:rPr>
          <w:b/>
        </w:rPr>
        <w:t>E. 2.2</w:t>
      </w:r>
    </w:p>
    <w:p>
      <w:r>
        <w:t>En l’espèce, la recourante explique avoir accumulé des amendes de stationnement durant un stage dans une entreprise à [...] de juin 2020 à janvier 2021, qu’elle n’avait pas pu les payer et qu’elle pensait recevoir un acte de défaut de biens. Elle ajoute s’être cassé la cheville, de sorte qu’elle est « en arrêt complet jusqu’au 27 novembre 2022 », indiquant qu’elle devrait subir des séances de physiothérapie et de rééducation à l’hôpital de [...] à raison de deux séances par semaine voire plus. Enfin, elle explique à nouveau qu’elle vit seule, qu’elle a un vieux chien malade qu’elle doit sortir régulièrement et qui suit un traitement médical lourd et enfin qu’elle ne peut confier l’animal à personne car « il a peur des gens ». Elle indique enfin qu’elle a un rendez-vous à l’Office régional de placement de [...] (ci-après : l’ORP) à [...] le lundi 12 décembre 2022 à 15h et qu’elle vient de se faire « engager pour le 28 novembre 2022 comme maman de jour et palefrenière auprès d’une personne privée à [...] du lundi au mercredi de 8h00 à 18h30 et comme femme de ménage le vendredi de 9h à 13h chez des propriétaires de chalets VIP à [...] pour toute la durée du mois de décembre 2022 et jusqu’au 10 janvier 2023 ». Or, la recourante ne s’est pas manifestée dans le premier délai que l’OEP lui a accordé pour fournir une preuve des activités alléguées. Si elle a finalement fourni la preuve de ces deux activités dans son courriel du 16 décembre 2022, il en ressort qu’elle établit qu’elle exercera une activité professionnelle tous les vendredis de 9h à 13h comme femme de ménage (durée inconnue) à Villars pour un salaire de 50 fr. par jour ; en outre, sa future belle-sœur atteste qu’elle vient l’aider du lundi au mercredi de 8h à 19h jusqu’au 30 janvier 2023 pour un salaire de 75 fr. par semaine. Comme le relève l’OEP dans son courrier du même jour, ces activités ne couvrent pas l’entier de la période d’exécution. Dans ces circonstances, c’est à raison que l’OEP a constaté que la recourante ne remplissait pas les conditions d’octroi du régime de la surveillance électronique telles que posées aux art. 79b al. 2 let. c CP et 4 al. 1 RESE.</w:t>
      </w:r>
    </w:p>
    <w:p>
      <w:r>
        <w:rPr>
          <w:b/>
        </w:rPr>
        <w:t>E. 3</w:t>
      </w:r>
    </w:p>
    <w:p>
      <w:r>
        <w:t>En définitive, le recours, manifestement mal fondé, doit être rejeté sans échange d'écritures (art. 390 al. 2 CPP) et la décision entreprise confirmée. Vu le sort du recours, les frais de la procédure, constitués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11 novembre 2022 est confirmée. III. Les frais d’arrêt, par 880 fr. (huit cent huitante francs), sont mis à la charge de P.________. IV. L’arrêt est exécutoire. La présidente :               La greffière : Du Le présent arrêt, dont la rédaction a été approuvée à huis clos, est notifié, par l'envoi d'une copie complète, à : - Mme P.________, - Ministère public central, et communiqué à : ‑ Office d’exécution des peines,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