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957 vom 21. November 2022</w:t>
      </w:r>
    </w:p>
    <w:p>
      <w:r>
        <w:t>VD Tribunal cantonal, 2022-11-21, FR</w:t>
      </w:r>
    </w:p>
    <w:p>
      <w:r>
        <w:rPr>
          <w:b/>
        </w:rPr>
        <w:t xml:space="preserve">Quelle: </w:t>
      </w:r>
      <w:r>
        <w:t>https://mcp.opencaselaw.ch/entscheid/vd_findinfo_D_cision___2022___957</w:t>
      </w:r>
    </w:p>
    <w:p>
      <w:r>
        <w:t>FR: VD_FINDINFO Décision / 2022 / 957 du 21 novembre 2022</w:t>
      </w:r>
    </w:p>
    <w:p>
      <w:r>
        <w:t>IT: VD_FINDINFO Décision / 2022 / 957 del 21 novembre 2022</w:t>
      </w:r>
    </w:p>
    <w:p>
      <w:pPr>
        <w:pStyle w:val="Heading2"/>
      </w:pPr>
      <w:r>
        <w:t>Regeste</w:t>
      </w:r>
    </w:p>
    <w:p>
      <w:r>
        <w:t>FRAIS DE LA PROCÉDURE, DÉPENS | 319 al. 1 CPP (CH), 420 CPP, 427 CPP (CH), 429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1.3</w:t>
      </w:r>
    </w:p>
    <w:p>
      <w:r>
        <w:t>Interjeté en temps utile et dans les formes prescrites (art. 385 al. 1 CPP) auprès de l’autorité compétente, par la partie plaignante qui a qualité pour recourir (art. 382 al. 1 CPP), le recours de B.________ est recevable. Dès lors que le recours porte exclusivement sur les effets accessoires du classement du 22 août 2022, à savoir la mise des frais de procédure à la charge du plaignant, y compris l’indemnité allouée à son conseil d’office, il relève de la compétence d’un juge unique de la Chambre des recours pénale.</w:t>
      </w:r>
    </w:p>
    <w:p>
      <w:r>
        <w:rPr>
          <w:b/>
        </w:rPr>
        <w:t>E. 2</w:t>
      </w:r>
    </w:p>
    <w:p>
      <w:r>
        <w:t>Le recourant reproche au Ministère public d’avoir abusé de son pouvoir d’appréciation s’agissant de l’application des art. 420 al. 1 let. a, 427 CPP et 30 al. 3 LAVI (Loi sur l’aide aux victimes ; RS 312.5). Il affirme avoir déposé sa plainte de bonne foi, alors qu’il se trouvait dans un état de détresse véritable, démontrée par pièces médicales (P. 12 et 13) et avec le soutien de son curateur. Il ajoute avoir agi sans intention de nuire à G.________, ni pour faire pression ou pour menacer cette dernière. Il soutient également que dans la mesure où il avait le statut de victime au bénéfice de l’assistance judiciaire, on ne pouvait exiger de lui le remboursement à l’Etat de l’indemnité allouée à son conseil juridique gratuit.</w:t>
      </w:r>
    </w:p>
    <w:p>
      <w:r>
        <w:rPr>
          <w:b/>
        </w:rPr>
        <w:t>E. 3.1.1</w:t>
      </w:r>
    </w:p>
    <w:p>
      <w:r>
        <w:t>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L’art. 427 CPP ne permet qu’exceptionnellement d'imputer les frais de procédure à la partie plaignante lorsque les infractions dénoncées sont poursuivies sur plainte et il ne permet pas de le faire lorsque les infractions dénoncées sont poursuivies d’office (ATF 138 IV 248, JdT 2013 IV 191 ; TF 6B_695/2017 du 26 avril 2018 consid. 2.2).</w:t>
      </w:r>
    </w:p>
    <w:p>
      <w:r>
        <w:rPr>
          <w:b/>
        </w:rPr>
        <w:t>E. 3.1.2</w:t>
      </w:r>
    </w:p>
    <w:p>
      <w:r>
        <w:t>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6B_638/2020 du 3 février 2021 consid. 2.2 et les références citées). Une action récursoire entre en ligne de compte en cas de soupçons sans fondement, mais non lorsqu'une plainte est déposée de bonne foi. L'on songe plutôt à la dénonciation calomnieuse au sens de l'art. 303 CP (TF 6B_638/2020 du 3 février 2021 consid. 2.2 et les références citées). Selon la jurisprudence, le dénonciateur qui utilise le droit de dénoncer à des fins étrangères à celles pour lesquelles ce droit a été prévu agit par négligence grave (TF 6B_638/2020 du 3 février 2021 consid. 2.2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 e éd., Bâle 2014, n. 6 ad art. 420 CPP).</w:t>
      </w:r>
    </w:p>
    <w:p>
      <w:r>
        <w:rPr>
          <w:b/>
        </w:rPr>
        <w:t>E. 3.1.3</w:t>
      </w:r>
    </w:p>
    <w:p>
      <w:r>
        <w:t>Aux termes de l’art. 30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 L'exclusion du remboursement, par la victime et ses proches, des frais de l'assistance gratuite d'un défenseur prévue par l'art. 30 al. 3 LAVI vise aussi la défense d'office de la victime au bénéfice de l'assistance judiciaire dans le cadre d'une procédure pénale et/ou civile dirigée contre l'auteur de l'infraction (ATF 141 IV 262 consid. 2, SJ 2016 I p. 385). L'art. 30 al. 3 LAVI constitue une lex specialis par rapport aux art. 135 al. 4 et 138 al. 1 CPP. Il n'est pas possible d'exiger de la victime au bénéfice de l'assistance judiciaire le remboursement à l'Etat des honoraires de son conseil d'office (ATF 141 IV 262 consid. 3). L'art. 30 al. 3 LAVI s'applique également lorsque l'infraction alléguée ne peut pas être démontrée en procédure de première instance. Il n'est par conséquent pas admissible d'exiger de la victime, dès que sa situation financière le lui permet, qu'elle rembourse les coûts de son assistance judiciaire gratuite en cas d'acquittement dans la procédure d'instruction et de première instance (ATF 143 IV 154 consid. 2.3.4, JdT 2017 IV 347).</w:t>
      </w:r>
    </w:p>
    <w:p>
      <w:r>
        <w:rPr>
          <w:b/>
        </w:rPr>
        <w:t>E. 3.2</w:t>
      </w:r>
    </w:p>
    <w:p>
      <w:r>
        <w:t>En l’espèce, la plainte déposée par le recourant le 8 mars 2021 a abouti à un classement de la procédure, faute d’avoir établi la réalisation d’une infraction pénale par l’intimée. Le recourant a été mis au bénéfice de l’assistance judiciaire gratuite dans le cadre de la procédure pénale (P. 10). Il a en outre obtenu le statut de victime au sens de l’art. 1 er LAVI et a démontré que les comportements dénoncés l’ont affecté dans sa santé psychique (P. 12 et 13). Dans ces circonstances, on ne peut reprocher au recourant d’avoir saisi l'autorité de poursuite pénale de manière infondée ou par malveillance et tout porte à croire qu’il a au contraire déposé plainte de bonne foi. Partant, les frais de la procédure pénale ne peuvent être mis à la charge du recourant, mais doivent être laissés à la charge de l’Etat. Il en va de même s’agissant de l’indemnité de conseil d’office allouée à Me Priscille Ramoni, par 2'721 fr. 50 .</w:t>
      </w:r>
    </w:p>
    <w:p>
      <w:r>
        <w:rPr>
          <w:b/>
        </w:rPr>
        <w:t>E. 4</w:t>
      </w:r>
    </w:p>
    <w:p>
      <w:r>
        <w:t>Il résulte de ce qui précède que le recours doit être admis et le chiffre IV du dispositif de l’ordonnance entreprise doit être réformée dans le sens des considérants. L’ordonnance est maintenue pour le surplus. Les frais de la procédure de recours, constitués de l’émolument d’arrêt (art. 422 al. 1 CPP), par 540 fr. (art. 20 al. 1 TFIP [tarif des frais de procédure et indemnités en matière pénale du 28 septembre 2010 ; BLV 312.03.1]), ainsi que de l’indemnité allouée au conseil d’office du recourant, comprenant des honoraires par 720 fr. (4 h au tarif horaire de 180 fr.), des débours forfaitaires de 2% par 14 fr. 40 (art. 26b TFIP cum art. 3bis RAJ [règlement sur l’assistance judiciaire en matière civile du 7 décembre 2010 ; BLV 211.02.3]) et de la TVA de 7,7%, par 56 fr. 55, soit 791 fr. au total en chiffres arrondis, seront laissés à la charge de l’Etat. Par ces motifs, le juge unique prononce : I. Le recours est admis. II. L’ordonnance du 22 août 2022 est réformée comme il suit au chiffre IV de son dispositif : IV. Laisse les frais de la procédure, y compris l’indemnité allouée au conseil d’office de B.________, par 2'721 fr. 50, à la charge de l’Etat. L’ordonnance est maintenue pour le surplus. III. Une indemnité de 791 fr. (sept cent nonante et un francs) est allouée à Me Priscille Ramoni, conseil juridique gratuit de B.________, pour la procédure de recours. IV. Les frais d’arrêt, par 540 fr. (cinq cent quarante francs), ainsi que l’indemnité fixée sous chiffre IV ci-dessus, par 791 fr. (sept cent nonante et un francs), sont laissés à la charge de l’Etat. V. L’arrêt est exécutoire. Le juge unique :               La greffière : Du Le présent arrêt, dont la rédaction a été approuvée à huis clos, est notifié, par l'envoi d'une copie complète, à : - Me Priscille Ramoni, avocate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