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95 vom 8. Februar 2022</w:t>
      </w:r>
    </w:p>
    <w:p>
      <w:r>
        <w:t>VD Tribunal cantonal, 2022-02-08, FR</w:t>
      </w:r>
    </w:p>
    <w:p>
      <w:r>
        <w:rPr>
          <w:b/>
        </w:rPr>
        <w:t xml:space="preserve">Quelle: </w:t>
      </w:r>
      <w:r>
        <w:t>https://mcp.opencaselaw.ch/entscheid/vd_findinfo_D_cision___2022___95</w:t>
      </w:r>
    </w:p>
    <w:p>
      <w:r>
        <w:t>FR: VD_FINDINFO Décision / 2022 / 95 du 8 février 2022</w:t>
      </w:r>
    </w:p>
    <w:p>
      <w:r>
        <w:t>IT: VD_FINDINFO Décision / 2022 / 95 del 8 febbraio 2022</w:t>
      </w:r>
    </w:p>
    <w:p>
      <w:pPr>
        <w:pStyle w:val="Heading2"/>
      </w:pPr>
      <w:r>
        <w:t>Regeste</w:t>
      </w:r>
    </w:p>
    <w:p>
      <w:r>
        <w:t>CONSULTATION DU DOSSIER, OBLIGATION DE PRODUIRE DES PIÈCES, PIÈCE COMPTABLE, PERQUISITION DE DOCUMENTS ET ENREGISTREMENTS, ADMISSION DE LA DEMANDE | 101 al. 1 CPP (CH), 107 al. 1 let. a CPP (CH)</w:t>
      </w:r>
    </w:p>
    <w:p>
      <w:pPr>
        <w:pStyle w:val="Heading2"/>
      </w:pPr>
      <w:r>
        <w:t>Erwägungen</w:t>
      </w:r>
    </w:p>
    <w:p>
      <w:r>
        <w:rPr>
          <w:b/>
        </w:rPr>
        <w:t>E. 1</w:t>
      </w:r>
    </w:p>
    <w:p>
      <w:r>
        <w:t>L'art. 393 al. 1 let. a CPP ouvre la voie du recours contre les décisions du Ministère public. Le recours s'exerce par le dépôt, dans les dix jours, d'un mémoire motivé adressé à l'autorité de recours, soit, dans le canton de Vaud, à la Chambre des recours pénale du Tribunal cantonal (art. 396 al. 1 CPP ; art. 13 al. 1 LVCPP [loi vaudoise d’introduction du Code de procédure pénale suisse du 19 mai 2009 ; BLV 312.01]). En l’espèce, interjeté dans le délai légal, auprès de l'autorité compétente et dans les formes prescrites (art. 385 al. 1 CPP), par le prévenu qui a un intérêt juridiquement protégé (art. 382 al. 1 CPP), le recours est recevable.</w:t>
      </w:r>
    </w:p>
    <w:p>
      <w:r>
        <w:rPr>
          <w:b/>
        </w:rPr>
        <w:t>E. 2.1</w:t>
      </w:r>
    </w:p>
    <w:p>
      <w:r>
        <w:t>Le recourant se plaint en premier lieu d’une constatation inexacte des faits, arguant qu’il avait eu accès au dossier le 24 juin 2021, soit après que la partie plaignante avait produit les pièces requises, mais que le dossier électronique transmis par le Ministère public mentionnait simplement que la pièce 44 était « hors onglet », sans autre indication de limitation à la consultation du dossier. Il expose également qu’il était fort probable que les documents dont la production était requise de sa part étaient déjà en possession des autorités pénales, puisqu’ils avaient été saisis par la police lors de la perquisition à son domicile. La motivation que lui prêtait le Ministère public pour justifier sa demande d’accès (qui s’apparenterait à une fishing operation [ recte : expedition ]) serait ainsi erronée. Le recourant en déduit que, puisque le Ministère public, respectivement la police, serait déjà en possession des documents dont la production était demandée, la consultation des pièces 44 et 45 devrait être autorisée. Il invoque en outre que le Ministère public aurait violé l’art. 101 al. 1 CPP en refusant l’accès au dossier pour des pièces qui ne feraient pas l’objet d’une restriction ; c’est ainsi à tort qu’il n’avait pas pu consulter le dossier depuis le 25 juin 2021.</w:t>
      </w:r>
    </w:p>
    <w:p>
      <w:r>
        <w:rPr>
          <w:b/>
        </w:rPr>
        <w:t>E. 2.2</w:t>
      </w:r>
    </w:p>
    <w:p>
      <w:r>
        <w:t>Le droit d'être entendu, garanti par les art. 29 al. 2 Cst. (Constitution fédérale de la Confédération suisse du 18 avril 1999 ; RS 101) et 3 al. 2 let. c CPP implique notamment le droit d’avoir accès au dossier (ATF 135 I 187 consid. 2.2 ; ATF 129 II 497 consid. 2.2). L'accès au dossier est garanti aux parties de manière générale par l'art. 107 al. 1 let. a CPP, selon lequel une partie a le droit d’être entendue et, à ce titre, peut notamment consulter le dossier. Selon l'art. 101 al. 1 CPP, les parties peuvent consulter le dossier d'une procédure pénale pendante, au plus tard après la première audition du prévenu et l'administration des preuves principales par le Ministère public ; l'art. 108 CPP est réservé. L’art. 101 al. 1 CPP pose deux conditions cumulatives à la consultation du dossier. Ainsi, cette consultation est possible, au plus tard, après la première audition du prévenu par le Ministère public, d’une part, et après l’administration des preuves principales par celui-ci, d’autre part (Fontana, in : Jeanneret/Kuhn/Perrier Depeursinge [édit.], Commentaire romand, Code de procédure pénale suisse, 2 e éd., Bâle 2019, n. 4 ad art. 101 CPP). S’agissant de la première condition (« après la première audition du prévenu (…) par le ministère public »), le législateur a clairement refusé de manière générale au prévenu le droit de consulter le dossier au début de la procédure, celle-ci pouvant mettre en péril la recherche de la vérité matérielle. Le texte légal ne précise pas si la personne concernée, lors de son audition par le ministère public, doit s’être effectivement exprimée sur les faits de la cause ; la doctrine majoritaire est d’avis que cette disposition s’applique même si le prévenu a fait usage du droit de se taire ou a refusé de collaborer lors de son audition par le procureur (Brüschweiler/Grünig, in : Donatsch/Lieber et al. [édit.], Zürcher Kommentar StPO, 3 e éd., Zurich/Bâle 2020, n. 4 ad art. 101 StPO et les références citées; Fontana, op. cit., n. 4a ad art. 101 CPP). Quant à la seconde condition (« l’administration des preuves principales par le ministère public »), il s’agit d’une notion indéterminée qui doit être interprétée au cas par cas ; le CPP ne contient pas de définition légale ou un « numerus clausus » des preuves. Par « preuves principales », il faut comprendre celles dont la mise en œuvre se révèle indispensable à l’objectif de l’instruction, à savoir la recherche de la vérité matérielle ; il s’agit, en règle générale, de l’audition du ou des prévenus, y compris de confrontation, de l’audition de la ou des victimes, de l’audition des principaux témoins, des perquisitions et séquestres, de l’extraction des données électroniques, des expertises médico-légales et des rapports de la police scientifique (TF 1B_4/2017 du 3 mars 2017 consid. 4.3 ; Brüschweiler/Grünig, op. cit., n. 5 ad art. 101 StPO et les références citées ; Fontana, op. cit., n. 4b ad art. 101 CPP et les références citées). La direction de la procédure statue sur la consultation des dossiers (art. 102 al. 1, 1 re phr., CPP).</w:t>
      </w:r>
    </w:p>
    <w:p>
      <w:r>
        <w:rPr>
          <w:b/>
        </w:rPr>
        <w:t>E. 2.3</w:t>
      </w:r>
    </w:p>
    <w:p>
      <w:r>
        <w:t>En l’espèce, le recourant a déjà pu consulter le dossier à deux reprises, la dernière fois le 24 juin 2021, mais les pièces 44 et 45 n’y figuraient pas. Depuis lors, le Ministère public lui a refusé l’accès au dossier, subordonnant une nouvelle consultation à la production par le recourant des pièces requises. Il est en effet exact que le recourant n’a pas produit celles-ci sous forme papier, hormis quelques factures. Comme le soutient le recourant et selon les déterminations du Ministère public, il apparaît cependant que la police est bien en possession d’une clé USB sur laquelle se trouverait la comptabilité de la société Z.________. Ces faits ne figurant pas dans la décision attaquée, le grief de constatation incomplète des faits doit être admis. Cependant, faute pour la police d’avoir encore examiné la clé USB en question, alors même que celle-ci est à sa disposition depuis le 19 janvier 2021 (P. 20 et 21), le Ministère public ignore en réalité quels documents comptables elle contient et si ceux-ci peuvent être lus. La police devrait pourtant être en mesure de vérifier l’existence de ces fichiers numériques depuis près d’une année. Par conséquent, le Ministère public pose une condition à la consultation des pièces 44 et 45 du dossier alors même qu’il est possible que celle-ci soit déjà remplie. La production des pièces requises étant le seul moyen invoqué à l’appui de la restriction de consultation, alors même que celle-ci, comme on l’a vu, n’apparaît pas forcément nécessaire ni justifiée, la décision contestée est dépourvue de fondement à ce stade et doit être annulée. En définitive, il appartiendra au Ministère public d’inviter la police à analyser rapidement la clé USB contenant la comptabilité de la société Z.________. Ainsi, dans l’hypothèse où les documents requis en mains du recourant figurent effectivement sur cette clé USB et sont consultables par les autorités pénales, le solde du dossier, y compris les pièces 44 et 45, doit pouvoir être consulté par le recourant, sous réserve d’autres motifs de refus de consultation, au sens de l’art. 101 CPP. Dans le cas contraire, les mesures d’instruction ordonnées par le Ministère public pourraient encore se heurter au droit de refuser de collaborer du recourant, conformément à l’art. 113 CPP, étant précisé que de nouvelles mesures de contrainte, telles qu’une perquisition ou un séquestre, resteraient possibles.</w:t>
      </w:r>
    </w:p>
    <w:p>
      <w:r>
        <w:rPr>
          <w:b/>
        </w:rPr>
        <w:t>E. 3</w:t>
      </w:r>
    </w:p>
    <w:p>
      <w:r>
        <w:t>juin 2019/352), par 117 fr. 85, ce qui totalise 1'647 fr. 85. En définitive, il sera alloué à ce titre à R.________ un montant arrondi de 1’648 fr., à la charge de T.________ en liquidation (art. 432 al. 1 et 436 CPP ; TF 6B_938/2017 du 2 juillet 2018 consid. 7.2). Par ces motifs, la Chambre des recours pénale prononce : I. Le recours est admis. II. L’ordonnance du 22 novembre 2021 est annulée. III. Le dossier de la cause est renvoyé au Ministère public de l’arrondissement de La Côte pour qu’il procède dans le sens des considérants. IV. Une indemnité de 1'648 fr. (mille six cent quarante-huit francs) est allouée au recourant R.________ pour l’exercice raisonnable de ses droits dans la procédure de recours, à la charge de T.________ en liquidation. V. Les frais d’arrêt, par 990 fr. (neuf cent nonante francs), sont mis à la charge de T.________ en liquidation. VI. L’arrêt est exécutoire. La présidente :               La greffière : Du Le présent arrêt, dont la rédaction a été approuvée à huis clos, est notifié, par l'envoi d'une copie complète, à : - Me Steve Gomes, avocat (pour R.________), - Me Thomas Roullet, avocat (pour T.________ en liquidation).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