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905 vom 16. November 2022</w:t>
      </w:r>
    </w:p>
    <w:p>
      <w:r>
        <w:t>VD Tribunal cantonal, 2022-11-16, FR</w:t>
      </w:r>
    </w:p>
    <w:p>
      <w:r>
        <w:rPr>
          <w:b/>
        </w:rPr>
        <w:t xml:space="preserve">Quelle: </w:t>
      </w:r>
      <w:r>
        <w:t>https://mcp.opencaselaw.ch/entscheid/vd_findinfo_D_cision___2022___905</w:t>
      </w:r>
    </w:p>
    <w:p>
      <w:r>
        <w:t>FR: VD_FINDINFO Décision / 2022 / 905 du 16 novembre 2022</w:t>
      </w:r>
    </w:p>
    <w:p>
      <w:r>
        <w:t>IT: VD_FINDINFO Décision / 2022 / 905 del 16 novembre 2022</w:t>
      </w:r>
    </w:p>
    <w:p>
      <w:pPr>
        <w:pStyle w:val="Heading2"/>
      </w:pPr>
      <w:r>
        <w:t>Regeste</w:t>
      </w:r>
    </w:p>
    <w:p>
      <w:r>
        <w:t>JONCTION DE CAUSES, DROIT D'ÊTRE ENTENDU, REJET DE LA DEMANDE, DISJONCTION DE CAUSES | 29 Cst., 29 CPP (CH), 30 CPP (CH)</w:t>
      </w:r>
    </w:p>
    <w:p>
      <w:pPr>
        <w:pStyle w:val="Heading2"/>
      </w:pPr>
      <w:r>
        <w:t>Erwägungen</w:t>
      </w:r>
    </w:p>
    <w:p>
      <w:r>
        <w:rPr>
          <w:b/>
        </w:rPr>
        <w:t>E. 1</w:t>
      </w:r>
    </w:p>
    <w:p>
      <w:r>
        <w:t>CPP, les recours sont recevables. Vu leur connexité, ils seront traités dans le même arrêt.</w:t>
      </w:r>
    </w:p>
    <w:p>
      <w:r>
        <w:rPr>
          <w:b/>
        </w:rPr>
        <w:t>E. 1.2</w:t>
      </w:r>
    </w:p>
    <w:p>
      <w:r>
        <w:t>Interjetés dans le délai légal, auprès de l’autorité compétente, par le prévenu qui a qualité pour recourir (cf. art. 382 al. 1 CPP) et satisfaisant aux conditions de forme posées par l’art. 385 al.</w:t>
      </w:r>
    </w:p>
    <w:p>
      <w:r>
        <w:rPr>
          <w:b/>
        </w:rPr>
        <w:t>E. 2.1</w:t>
      </w:r>
    </w:p>
    <w:p>
      <w:r>
        <w:t>Le recourant invoque d’abord une violation du droit d’être entendu, pour le motif que les ordonnances attaquées ne comporteraient aucune motivation.</w:t>
      </w:r>
    </w:p>
    <w:p>
      <w:r>
        <w:rPr>
          <w:b/>
        </w:rPr>
        <w:t>E. 2.2</w:t>
      </w:r>
    </w:p>
    <w:p>
      <w:r>
        <w:t>Le droit d'être d'entendu découlant des art. 29 al. 2 Cst. (Constitution fédérale de la Confédération suisse du 18 avril 1999 ; RS 101), 3 al. 2 let. c et 107 CPP comprend le droit, pour le justiciable, de s'exprimer sur les éléments pertinents avant qu'une décision ne soit prise touchant sa situation juridique (ATF 142 II 218 consid. 2.3; 136 I 184 consid. 2.2.1).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 ATF 139 IV 179 consid. 2.2).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w:t>
      </w:r>
    </w:p>
    <w:p>
      <w:r>
        <w:rPr>
          <w:b/>
        </w:rPr>
        <w:t>E. 2.3</w:t>
      </w:r>
    </w:p>
    <w:p>
      <w:r>
        <w:t>La motivation des ordonnances attaquées est certes sommaire. Elle permet toutefois – au vu de l’énoncé des infractions objets des enquêtes en cause et du caractère connexe de celles désormais dirigées uniquement à l’encontre du recourant – de comprendre les raisons qui ont guidé le Ministère public. De toute manière, dans ses déterminations du 25 octobre 2022, le Ministère public a expliqué de manière plus détaillée encore les raisons qui l’ont conduit à rendre les décisions litigieuses. Ensuite, un deuxième échange d’écritures au sens de l’art. 390 al. 3 CPP a été ordonné pour permettre au recourant de discuter les arguments du Ministère public. Dans ses écritures complémentaires, le recourant a du reste contesté le raisonnement du Ministère public. Ainsi, même si la motivation de l’ordonnance devait être tenue pour insuffisante, le recourant aurait eu la faculté de faire valoir ses moyens devant une autorité de recours disposant d’un plein pouvoir d'examen, et qui pourrait ainsi contrôler librement les décisions attaquées et réparer le prétendu vice en deuxième instance. A cela s’ajoute que, dans cette hypothèse, on ne saurait retenir une atteinte particulièrement grave aux droits procéduraux du recourant, dès lors qu’il s’agit d’ordonner ou non la jonction ou la disjonction de procédures pénales, aucun droit au fond n’étant touché. Par ailleurs, un renvoi à l’autorité inférieure constituerait en l’espèce une vaine formalité provoquant un allongement inutile de la procédure, incompatible avec l’intérêt de H.________ à ce que la cause soit tranchée dans un délai raisonnable, étant rappelé que celui-ci est détenu provisoirement. Le moyen est donc mal fondé et doit être rejeté.</w:t>
      </w:r>
    </w:p>
    <w:p>
      <w:r>
        <w:rPr>
          <w:b/>
        </w:rPr>
        <w:t>E. 3.1</w:t>
      </w:r>
    </w:p>
    <w:p>
      <w:r>
        <w:t>Le recourant invoque une violation des art. 29 et 30 CPP. D’une part, il soutient que la disjonction de la procédure n° PE20.022196 entraînerait un retard supplémentaire en ce qui le concerne, en violation du principe de la célérité, dès lors que le Ministère public devait rendre une ordonnance pénale pour les faits s’étant déroulés dans la nuit du 17 au 18 novembre 2020 depuis près d’une année. L’activité délictuelle qui lui est reprochée ainsi qu’à R.________ serait d’ailleurs similaire, de sorte que, du point de vue de l’égalité des armes et du droit de participer à l’éventuel administration future des preuves dans le cadre d’une opposition à l’ordonnance pénale, le Ministère public aurait dû également traiter le cas du recourant. D’autre part, ce serait bien la jonction des causes voulue par le Ministère public qui créerait un retard insoutenable et une violation du principe de la célérité pour le recourant s’agissant de la première affaire pendante, d’autant plus que la nouvelle procédure n° PE21.020991 n’en serait qu’à ses prémisses, que de nombreux actes d’instruction devraient encore être entrepris et que le recourant serait en détention provisoire. De surcroît, les parties, hormis le recourant, seraient différentes dans les causes dont le procureur ordonne la jonction, si bien que la connexité des causes serait inexistante.</w:t>
      </w:r>
    </w:p>
    <w:p>
      <w:r>
        <w:rPr>
          <w:b/>
        </w:rPr>
        <w:t>E. 3.2.1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références citées ; TF 1B_580/2021 du 10 mars 2022 consid. 2.1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En revanche, de simples motifs de commodité ne sauraient justifier une disjonction (Bouverat, in : Jeanneret/Kuhn/Perrier Depeursinge [éd.], Commentaire romand, Code de procédure pénale suisse, 2 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3.2.2</w:t>
      </w:r>
    </w:p>
    <w:p>
      <w:r>
        <w:t>Le principe de l'unité de la procédure découle de l’art. 49 CP (Code pénal suisse du 21 décembre 1937 ; RS 311.0) qui prévoit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 générale de l’art. 29 al. 1 CPP tend ainsi à éviter au prévenu de devoir comparaître devant plusieurs tribunaux à raison des faits qui lui sont reprochés (Moreillon/Parein-Reymond, op. cit., n.</w:t>
      </w:r>
    </w:p>
    <w:p>
      <w:r>
        <w:rPr>
          <w:b/>
        </w:rPr>
        <w:t>E. 3.3</w:t>
      </w:r>
    </w:p>
    <w:p>
      <w:r>
        <w:t>En l’espèce, comme l’a relevé le Ministère public, on ne saurait considérer que la disjonction du cas de R.________ de la procédure n° PE20.022196 viole le principe de l’équité. En effet, les faits ont été reconnus tant par le prénommé que par le recourant, l’instruction est terminée et les questions liées à l’indemnisation des lésés ont été réglées. Il est dès lors possible de prononcer de manière séparée des sanctions à l’égard des deux protagonistes, sans aucun préjudice pour les prévenus ou les lésés. Le jugement ou l’ordonnance qui seront rendus dans le cas relatif à R.________ pourront être produits dans la procédure dirigée contre le recourant et celui-ci pourra, au besoin, faire entendre R.________ dans cette procédure. Pour le reste, il suffit de relever que les deux enquêtes jointes concernent le même auteur. Au demeurant, l’instruction conjointe des causes n’occasionne aucun préjudice ni autre inconvénient de quelque nature que ce soit pour le recourant. En effet, si l’on peut effectivement craindre que l’affaire le concernant ne dure plus longtemps en raison de l’ampleur du dossier joint, il importe toutefois que celui-ci soit jugé en une seule fois pour l’ensemble des faits qui lui sont reprochés, conformément au principe de l’unité de la procédure. Par conséquent, le principe de la célérité de la procédure ne saurait en l’espèce constituer un motif pertinent, les principes de l’unité et de l’économie de la procédure devant être privilégiés. Les inconvénients subis par H.________ ne l’emportent donc pas sur ces principes. En conclusion, les disjonction et jonction ordonnées par le Ministère public sont justifiées par des raisons objectives et échappent à la critique.</w:t>
      </w:r>
    </w:p>
    <w:p>
      <w:r>
        <w:rPr>
          <w:b/>
        </w:rPr>
        <w:t>E. 4</w:t>
      </w:r>
    </w:p>
    <w:p>
      <w:r>
        <w:t>Il résulte de ce qui précède que les recours doivent être rejetés et les ordonnances attaquées confirmées. Vu l’issue de la cause,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 L’intimé R.________, par son défenseur d’office, s’est limité, dans ses déterminations de quelques lignes, à adhérer à la disjonction de son cas telle qu’elle a été ordonnée par le Ministère public. Ce procédé ne comporte aucune conclusion en allocation de dépens et est très bref. Il ne saurait donc justifier l’octroi d’une indemnité. Par ces motifs, la Chambre des recours pénale prononce : I. Les recours sont rejetés. II. Les ordonnances de disjonction et de jonction rendues le 13 septembre 2022 sont confirmées. III. Les frais d’arrêt, par 1'430 fr. (mille quatre cent trente francs), sont mis à la charge de H.________. IV. L’arrêt est exécutoire. La présidente :               La greffière : Du Le présent arrêt, dont la rédaction a été approuvée à huis clos, est notifié, par l'envoi d'une copie complète, à : - Me Albert Habib, avocat (pour H.________), - Me Valérie Elsner Guignard, avocate (pour R.________),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