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86 vom 27. Januar 2022</w:t>
      </w:r>
    </w:p>
    <w:p>
      <w:r>
        <w:t>VD Tribunal cantonal, 2022-01-27, FR</w:t>
      </w:r>
    </w:p>
    <w:p>
      <w:r>
        <w:rPr>
          <w:b/>
        </w:rPr>
        <w:t xml:space="preserve">Quelle: </w:t>
      </w:r>
      <w:r>
        <w:t>https://mcp.opencaselaw.ch/entscheid/vd_findinfo_D_cision___2022___86</w:t>
      </w:r>
    </w:p>
    <w:p>
      <w:r>
        <w:t>FR: VD_FINDINFO Décision / 2022 / 86 du 27 janvier 2022</w:t>
      </w:r>
    </w:p>
    <w:p>
      <w:r>
        <w:t>IT: VD_FINDINFO Décision / 2022 / 86 del 27 gennaio 2022</w:t>
      </w:r>
    </w:p>
    <w:p>
      <w:pPr>
        <w:pStyle w:val="Heading2"/>
      </w:pPr>
      <w:r>
        <w:t>Regeste</w:t>
      </w:r>
    </w:p>
    <w:p>
      <w:r>
        <w:t>CLASSEMENT DE LA PROCÉDURE, CLASSEMENT{ZONE}, NON-LIEU, RANG, ACQUITTEMENT, IN DUBIO PRO DURIORE, VIOLENCE CONTRE LES AUTORITÉS | 285 ch. 1 CP, 319 CPP (CH), 393 CPP (CH)</w:t>
      </w:r>
    </w:p>
    <w:p>
      <w:pPr>
        <w:pStyle w:val="Heading2"/>
      </w:pPr>
      <w:r>
        <w:t>Erwägungen</w:t>
      </w:r>
    </w:p>
    <w:p>
      <w:r>
        <w:rPr>
          <w:b/>
        </w:rPr>
        <w:t>E. 1.1</w:t>
      </w:r>
    </w:p>
    <w:p>
      <w:r>
        <w:t>Les parties peuvent attaquer une ordonnance du classement rendue par le ministère public en application des art. 319 ss CPP dans les dix jours devant l’autorité de recours (art. 322 al. 2 et 396 al. 1 CPP ; cf. art. 20 al. 1 let. b CPP [Code de procédure pénale suisse du 5 octobre 2007 ; RS 312.0]),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contre une ordonnance de classement rendue par le Ministère public, par le plaignant qui a qualité pour recourir (art. 382 al. 1 CPP), le recours d’E.________ est recevable.</w:t>
      </w:r>
    </w:p>
    <w:p>
      <w:r>
        <w:rPr>
          <w:b/>
        </w:rPr>
        <w:t>E. 2</w:t>
      </w:r>
    </w:p>
    <w:p>
      <w:r>
        <w:t>Dénonçant une violation du principe « in dubio pro duriore », le recourant soutient que les faits ont été constatés de manière incomplète et erronée, voire arbitraire, par le Ministère public. Il lui reproche de n’avoir pas entrepris toutes les mesures d’instruction qui étaient envisageables – auditions des employés des commerces alentours et confrontation avec le prévenu – pour établir les faits à satisfaction. Il fait en outre grief au procureur d’avoir accordé, sans motif valable, davantage de crédit à la version du prévenu plutôt qu’à la sienne, alors que les déclarations d’U.________ auraient varié en cours d’enquête.</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2.1.2</w:t>
      </w:r>
    </w:p>
    <w:p>
      <w:r>
        <w:t>Aux termes de l’art. 285 ch. 1 al. 1 CP, celui qui, en usant de violence ou de menace, aura empêché une autorité, un membre d’une autorité ou un fonctionnaire à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les fonctionnaires et les voies de fait contre ceux-ci (TF 6B_366/2021 du 26 janvier 2022 consid. 3.1 ; TF 6B_1191/2019 du 4 décembre 2019 consid. 3.1 ; TF 6B_863/2015 du 15 mars 2016 consid. 1.1).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précité consid. 3.1 et les références citées). L’intensité de la violence doit être analysée selon les circonstances concrètes ; peu importe dès lors que l’auteur emploie ses mains, ses pieds ou un objet (TF 6B_1339/2018 du 21 février 2019 consid. 2.2 et la référence citée). Les voies de faits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être accompli (TF 6B_1338/2018 précité consid. 2.2 ; TF 6B_863/2015 précité consid. 1.1 et la référence citée). L’art. 285 CP vise également tous les cas où les voies de fait sont commises pour obtenir d’un fonctionnaire une action positive et non pour l’en empêcher (TF 6B_863/2015 précité consid. 1.2.2).</w:t>
      </w:r>
    </w:p>
    <w:p>
      <w:r>
        <w:rPr>
          <w:b/>
        </w:rPr>
        <w:t>E. 2.2</w:t>
      </w:r>
    </w:p>
    <w:p>
      <w:r>
        <w:t>En l’espèce, s’il est vrai qu’U.________ a dit, lors de sa première audition par la police, qu’il n’avait que de vagues souvenirs des évènements, on ne saurait pour autant en déduire avec la certitude dont se prévaut le recourant qu’il aurait fait preuve d’agressivité tant verbale que physique envers E.________. Seul est établi à ce stade le fait que le prévenu était passablement alcoolisé, puisque son organisme accusait un taux de 0.79 mg/L à 6h39, respectivement de 0.66 mg/L à 8h12 (P.5). Il est compréhensible dans ces circonstances que l’intéressé énonce des souvenirs confus des évènements. Par ailleurs et contrairement à ce qu’avance le recourant, U.________ n’a jamais partiellement admis les faits tels que dénoncés ; il n’a simplement pas exclu avoir pu adopter une attitude inadéquate en raison de son état alcoolisé. Cela, une fois encore, ne suffit pas à alimenter la thèse du recourant. Pas plus que le fait qu’U.________ ait présenté à plusieurs reprises ses excuses pour son attitude le jour des faits en question. Quoi qu’il en soit, si les versions des deux protagonistes divergent, les images de vidéosurveillance qui portent sur l’intégralité de la scène litigieuse sont quant à elles très claires ; elles ne montrent rien qui corresponde aux dénonciations du recourant. A l’inverse, on perçoit distinctement qu’U.________ ne se montre à aucun moment agressif envers E.________, pas plus qu’il n’esquisse le moindre geste de bousculade. On voit uniquement le prévenu passer la main sur l’épaule du plaignant et, pour le surplus, lui parler. S’agissant de la mesure d’instruction visant à identifier les employés du commerce visibles sur les images de vidéosurveillance en vue de procéder à leur audition en qualité de témoins, on ne distingue pas son utilité. En effet, les images de vidéosurveillance suffisent à ôter toute crédibilité à la version du recourant et étayer celle d’U.________. Force est au demeurant de relever que ce dernier n’a pas adapté sa version au fil de l’instruction, à l’inverse d’E.________, qui tempère – et perd en crédibilité – ses propos au gré des éléments de preuve qui lui sont soumis. Compte tenu des éléments qui précèdent, la version la plus plausible est clairement celle du prévenu. Il n’est pas vraisemblable que le prévenu ait poussé le recourant et l’on ne perçoit pas non plus d’attitude menaçante de sa part, qui soit de nature à envisager la réalisation de l’infraction de violence ou menace contre les autorités et les fonctionnaires. On ne distingue pas plus la manière dont le Ministère public aurait constaté les faits de manière incomplète ou erronée et aurait contrevenu au principe « in dubio pro duriore », ni aurait fait preuve d’arbitraire ou violé la loi en prononçant le classement de la procédure diligentée contre U.________. En définitive, en l’absence d’indices concrets de la commission de la moindre infraction, c’est à juste titre que le Ministère public a prononcé le classement de la procédure et l’ordonnance qu’il a rendue dans ce sens doit être confirmée.</w:t>
      </w:r>
    </w:p>
    <w:p>
      <w:r>
        <w:rPr>
          <w:b/>
        </w:rPr>
        <w:t>E. 3</w:t>
      </w:r>
    </w:p>
    <w:p>
      <w:r>
        <w:t>Il résulte de ce qui précède que le recours d’E.________, manifestement mal fondé, doit être rejeté sans échange d’écritures (art. 390 al. 2 CPP) et l’ordonnance du 20 octobre 2021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20 octobre 2021 est confirmée. III. Les frais d’arrêt, par 1’100 fr. (mille cent francs), sont mis à la charge d’E.________. IV. L’arrêt est exécutoire. Le président :               La greffière : Du Le présent arrêt, dont la rédaction a été approuvée à huis clos, est notifié, par l'envoi d'une copie complète, à : - Me Charles Piguet, avocat (pour E.________), - Ministère public central, et communiqué à : ‑ M. U.________,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