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859 vom 12. Oktober 2022</w:t>
      </w:r>
    </w:p>
    <w:p>
      <w:r>
        <w:t>VD Tribunal cantonal, 2022-10-12, FR</w:t>
      </w:r>
    </w:p>
    <w:p>
      <w:r>
        <w:rPr>
          <w:b/>
        </w:rPr>
        <w:t xml:space="preserve">Quelle: </w:t>
      </w:r>
      <w:r>
        <w:t>https://mcp.opencaselaw.ch/entscheid/vd_findinfo_D_cision___2022___859</w:t>
      </w:r>
    </w:p>
    <w:p>
      <w:r>
        <w:t>FR: VD_FINDINFO Décision / 2022 / 859 du 12 octobre 2022</w:t>
      </w:r>
    </w:p>
    <w:p>
      <w:r>
        <w:t>IT: VD_FINDINFO Décision / 2022 / 859 del 12 ottobre 2022</w:t>
      </w:r>
    </w:p>
    <w:p>
      <w:pPr>
        <w:pStyle w:val="Heading2"/>
      </w:pPr>
      <w:r>
        <w:t>Regeste</w:t>
      </w:r>
    </w:p>
    <w:p>
      <w:r>
        <w:t>DÉNONCIATION CALOMNIEUSE, INDUCTION DE LA JUSTICE EN ERREUR, SUSPENSION DE LA PROCÉDURE, ORDONNANCE DE NON-ENTRÉE EN MATIÈRE, ADMISSION DE LA DEMANDE | 303 CP, 304 CP, 310 CPP (CH), 314 al. 1 let. b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le recours formé par P. peut être considéré comme ayant été déposé en temps utile, dès lors qu’on ignore à quelle date son auteur a reçu la décision litigieuse, celle-ci ayant été envoyée sous pli simple en contravention avec l'art. 85 al. 2 CPP (qui prévoit que les autorités pénales notifient leurs prononcés par lettre signature) (ATF 142 IV 125 consid. 4.3). Au surplus, interjeté auprès de l’autorité compétente par le plaignant qui a qualité pour recourir (art. 382 al. 1 CPP), le recours est recevable.</w:t>
      </w:r>
    </w:p>
    <w:p>
      <w:r>
        <w:rPr>
          <w:b/>
        </w:rPr>
        <w:t>E. 2</w:t>
      </w:r>
    </w:p>
    <w:p>
      <w:r>
        <w:t>e éd., Bâle 2017, n. 24 ad art. 304 CP). Lorsqu'une plainte pour l'une de ces infractions est déposée en lien avec une cause pénale antérieure, il est en principe préférable d'attendre l'issue de la première avant de statuer dans la seconde (CREP 14 juillet 2022/527; CREP 6 février 2020/78; CREP 14 octobre 2019/830).</w:t>
      </w:r>
    </w:p>
    <w:p>
      <w:r>
        <w:rPr>
          <w:b/>
        </w:rPr>
        <w:t>E. 2.1</w:t>
      </w:r>
    </w:p>
    <w:p>
      <w:r>
        <w:t>Le recourant fait valoir que sa détention repose sur une enquête « stérile et dénudée (sic) de toute vérité à [s]on encontre » et il soutient que son ex-épouse manque de crédibilité. Il reproche au Ministère public d’avoir rendu une ordonnance de non-entrée en matière s'agissant des faits qu'il a dénoncés, alors qu'il a recouru auprès du Tribunal fédéral contre sa condamnation intervenue dans la cause PE20.017959. Il invoque le fait qu'il est toujours présumé innocent, dès lors que la procédure est encore pendante devant cette juridiction.</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6B_79/2021 du 4 avril 2022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références citées ; TF 1B_563/2019 et 1B_565/2019 du 9 juin 2020 consid. 4.1.2 ; TF 1B_421/2012 du 19 juin 2013 consid. 2.1 ; Grodecki/Cornu, in : Jeanneret et al. [éd.], Commentaire romand, Code de procédure pénale suisse, 2 e éd., Bâle 2019, nn. 13-13a et 14b ad art. 314 CPP).</w:t>
      </w:r>
    </w:p>
    <w:p>
      <w:r>
        <w:rPr>
          <w:b/>
        </w:rPr>
        <w:t>E. 2.2.3</w:t>
      </w:r>
    </w:p>
    <w:p>
      <w:r>
        <w:t>Aux termes de l’art. 303 al. 1 CP (Code pénal suisse du 21 décembre 1937 ; RS 311.0), se rend coupable de dénonciation calomnieuse celui qui aura dénoncé à l’autorité, comme auteur d’un crime ou d’un délit, une personne qu’il savait innocente, en vue de faire ouvrir contre elle une poursuite pénale. Selon l’art. 304 al. 1 CP, se rend coupable d’induction de la justice en erreur celui qui aura dénoncé à l’autorité une infraction qu’il savait n’avoir pas été commise. Ces deux infractions sont intentionnelles.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Les infractions en droit suisse, vol. II, 3 e éd., Berne 2010, n. 17 ad art. 303 CP et n. 9 ad art. 304 CP ; CREP 27 mai 2014/368). L'art. 304 CP est subsidiaire à l'article 303 CP. Ainsi, celui qui dénonce une infraction fictive et qui, parallèlement, accuse une personne déterminée d'avoir commis cette infraction est punissable en vertu de l'art. 303 CP (Dupuis et al. [éd.], Petit Commentaire du Code pénal,</w:t>
      </w:r>
    </w:p>
    <w:p>
      <w:r>
        <w:rPr>
          <w:b/>
        </w:rPr>
        <w:t>E. 2.3</w:t>
      </w:r>
    </w:p>
    <w:p>
      <w:r>
        <w:t>En l’espèce, l'issue de la présente procédure, ouverte sur plainte de P., est intrinsèquement liée au résultat de la procédure principale PE20.017959 instruite contre lui à la suite des violences conjugales dénoncées par son ex-épouse. Dès lors qu'un recours est pendant dans cette cause auprès du Tribunal fédéral, le raisonnement du Ministère public est fondé sur une condamnation qui n'est pas encore définitive, de sorte qu'il ne peut être exclu, à ce stade, que P. soit innocenté s'agissant des principales infractions qui lui sont reprochées. Dans cette hypothèse, la première condition posée pour retenir la commission de l'infraction de dénonciation calomnieuse, soit la dénonciation d'une personne innocente, serait remplie. Dans la mesure où le sort de la plainte pénale du recourant dépend étroitement du dénouement de cette première affaire, l’ordonnance attaquée apparaît prématurée et doit être annulée, le Ministère public étant invité à suspendre la cause PE22.007421 jusqu’à droit connu dans le cadre de la procédure PE20.017959, conformément à l'art. 314 al. 1 let. b CPP.</w:t>
      </w:r>
    </w:p>
    <w:p>
      <w:r>
        <w:rPr>
          <w:b/>
        </w:rPr>
        <w:t>E. 3</w:t>
      </w:r>
    </w:p>
    <w:p>
      <w:r>
        <w:t>En définitive, le recours doit être admis, l’ordonnance entreprise annulée et le dossier de la cause renvoyé au Ministère public pour qu’il procède dans le sens des considérants. Vu l’admission du recours, les frais de la procédure, constitués du seul émolument d’arrêt, par 770 fr. (art. 20 al. 1 TFIP [Tarif des frais de procédure et indemnités en matière pénale du 28 septembre 2010 ; BLV 312.03.1]), seront laissés à la charge de l’Etat (art. 428 al. 4 CPP). Par ces motifs, la Chambre des recours pénale prononce : I. Le recours est admis. II. L’ordonnance du 17 mai 2022 est annulée. III. Le dossier de la cause est renvoyé au Ministère public de l’arrondissement du Nord vaudois pour qu’il procède dans le sens des considérants. IV. Les frais d’arrêt, par 770 fr. (sept cent septante francs), sont laissés à la charge de l’Etat. V. L’arrêt est exécutoire. La présidente : La greffière : Du Le présent arrêt, dont la rédaction a été approuvée à huis clos, est notifié, par l'envoi d'une copie complète, à : - P., - Ministère public central, et communiqué à : - Mme la Procureure du Ministère public de l’arrondissement du Nord vaudois, - M.,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