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842 vom 5. Oktober 2022</w:t>
      </w:r>
    </w:p>
    <w:p>
      <w:r>
        <w:t>VD Tribunal cantonal, 2022-10-05, FR</w:t>
      </w:r>
    </w:p>
    <w:p>
      <w:r>
        <w:rPr>
          <w:b/>
        </w:rPr>
        <w:t xml:space="preserve">Quelle: </w:t>
      </w:r>
      <w:r>
        <w:t>https://mcp.opencaselaw.ch/entscheid/vd_findinfo_D_cision___2022___842</w:t>
      </w:r>
    </w:p>
    <w:p>
      <w:r>
        <w:t>FR: VD_FINDINFO Décision / 2022 / 842 du 5 octobre 2022</w:t>
      </w:r>
    </w:p>
    <w:p>
      <w:r>
        <w:t>IT: VD_FINDINFO Décision / 2022 / 842 del 5 ottobre 2022</w:t>
      </w:r>
    </w:p>
    <w:p>
      <w:pPr>
        <w:pStyle w:val="Heading2"/>
      </w:pPr>
      <w:r>
        <w:t>Regeste</w:t>
      </w:r>
    </w:p>
    <w:p>
      <w:r>
        <w:t>ORDONNANCE DE NON-ENTRÉE EN MATIÈRE, REJET DE LA DEMANDE, LÉSION CORPORELLE | 125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En l’espèce, interjeté en temps utile devant l’autorité compétente, par la partie plaignante qui a qualité pour recourir (art. 382 al. 1 CPP) et dans les formes prescrites (art. 385 al. 1 CPP), le recours d’P.________ est recevable. Les pièces nouvelles produites avec le recours (P. 6/2/3 à P. 6/2/7) sont également recevables, de même que les pièces versées au dossier les 10 juin et 14 août 2022 (art. 389 al.</w:t>
      </w:r>
    </w:p>
    <w:p>
      <w:r>
        <w:rPr>
          <w:b/>
        </w:rPr>
        <w:t>E. 3</w:t>
      </w:r>
    </w:p>
    <w:p>
      <w:r>
        <w:t>CPP ; Moreillon/Parein-Reymond, Petit commentaire du Code de procédure pénale, 2 e éd., Bâle 2016, n. 10 ad art. 389 al. 3 CPP). 2. Conformément à l'art. 310 al. 1 let. a CPP, le Ministère public rend immédiatement – c'est-à-dire sans qu'une instruction soit ouverte (art. 309 al. 1 et 4 CPP ; ATF 144 IV 86 consid. 2.3.3 ; Grodecki/Cornu, in : Jeanneret/Kuhn/Perrier Depeursinge [éd.],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w:t>
      </w:r>
    </w:p>
    <w:p>
      <w:r>
        <w:rPr>
          <w:b/>
        </w:rPr>
        <w:t>E. 3.1</w:t>
      </w:r>
    </w:p>
    <w:p>
      <w:r>
        <w:t>Invoquant une violation de l’art. 310 CPP, le recourant reproche au Ministère public d’avoir refusé d’entrer en matière sur sa plainte. Il fait valoir en substance que, à l’endroit où il devait monter dans le wagon première classe, la différence de niveau serait de 25 cm, que la conformité de cette hauteur aux normes de sécurité applicables aux véhicules de transport ferroviaire de personnes devrait être examinée, que la question de « la violation d’un devoir de diligence, de protection et/ou de sécurité » à l’origine de sa chute devrait être appréciée et que les lésions consécutives à sa chute, en marge de ses problèmes médicaux antérieurs, ressortiraient des pièce médicales produites.</w:t>
      </w:r>
    </w:p>
    <w:p>
      <w:r>
        <w:rPr>
          <w:b/>
        </w:rPr>
        <w:t>E. 3.2.1</w:t>
      </w:r>
    </w:p>
    <w:p>
      <w:r>
        <w:t>Selon l’art. 122 CP (Code pénal suisse du 21 décembre 1937 ;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du 5 juin 2019 consid. 5.1 ; TF 6B_1003/2018 du 18 décembre 2018 consid. 1.2.4 et réf. cit.).</w:t>
      </w:r>
    </w:p>
    <w:p>
      <w:r>
        <w:rPr>
          <w:b/>
        </w:rPr>
        <w:t>E. 3.2.2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conditions : l'existence de lésions corporelles, une négligence et un lien de causalité entre la négligence et les lésions. L’application de l’art. 125 al. 2 CP suppose que la victime ait subi des lésions corporelles qui soient graves au sens de l'art. 122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Pour déterminer plus précisément les devoirs imposés par la prudence, on peut se référer à des normes édictées par l'ordre juridique pour assurer la sécurité et éviter des accidents (ATF 143 IV 138 consid. 2.1). Une violation du devoir de prudence peut aussi être retenue au regard des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réf. cit.).</w:t>
      </w:r>
    </w:p>
    <w:p>
      <w:r>
        <w:rPr>
          <w:b/>
        </w:rPr>
        <w:t>E. 3.2.3</w:t>
      </w:r>
    </w:p>
    <w:p>
      <w:r>
        <w:t>La LHand (Loi fédérale du 13 décembre 2002 sur l’élimination des inégalités frappant les personnes handicapées ; RS 151.3) a pour but de prévenir, de réduire ou d’éliminer les inégalités qui frappent les personnes handicapées (art. 1 al. 1 LHand). L’art. 2 al. 1 LHand définit la personne handicapée comme étant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Les art. 7 et 8 LHand accordent aux personnes handicapées des droits subjectifs en matière de constructions, d’équipements ou de véhicules et en matière de prestations. Toute personne qui subit une inégalité au sens de l’art. 2 al. 3 LHand, peut, dans le cas d’un équipement ou d’un véhicule des transports publics au sens de l’art. 3 let. b de la loi, demander à l’autorité compétente que l’entreprise conces­sionnaire élimine l’inégalité ou qu’elle s’en abstienne (art. 7 al. 2 LHand), ou le versement d’une indemnité (art. 8 al. 3 LHand).</w:t>
      </w:r>
    </w:p>
    <w:p>
      <w:r>
        <w:rPr>
          <w:b/>
        </w:rPr>
        <w:t>E. 3.3</w:t>
      </w:r>
    </w:p>
    <w:p>
      <w:r>
        <w:t>En l’espèce, lorsque le recourant a pris le train en direction de Zurich à la gare de Lausanne le 10 janvier 2022, il a fait le choix de monter dans un wagon de tête de première classe où la distance entre le niveau du quai et celui de la première marche du wagon était relativement importante. Au moment où la sonnerie a annon­cé la fermeture imminente des portes, le recourant, qui avait de la peine à monter dans le wagon, a dit avoir stressé et pani­qué, et s’être accroché aux barres fixées au wagon, avant de tomber en avant dans le wagon et de se blesser à l’épaule et au genou. Le Ministère public a considéré que les éléments constitutifs des infractions de lésions corporelles simples et de lésions corporelles graves par négligence n’étaient pas réalisés. Tout d’abord, le recourant a, de son propre aveu, pris le train le 10 janvier 2022 pour se rendre à l’Hôpital universitaire de Zurich pour faire une IRM et au moment où il est monté dans le train, son état de santé était déjà dégradé et il souffrait déjà de « douleurs intolérables jour et nuit » (P. 9). Le plaignant, âgé de 77 ans, n’a apporté la preuve du fait qu’il avait subi des lésions corporelles lors de sa chute du 10 janvier 2022 qu’en deuxième instance, lorsqu’il a produit, à l’appui de son recours, les rapports et les courriers établis les 10 janvier 2022 par le Service de radiologie de l’Hôpital universitaire de Zurich, 17 février 2022 par le Service de physiothérapie de la [...], 15 février 2022 par le Service de rhumatologie du CHUV, 21 mars 2022 par le Dr [...] et 3 mai 2022 par le Service de réadap­tation de l’appareil locomoteur de la Clinique de [...] (P. 6/2/3 à P. 6/2/7). A la lecture de ces documents, on constate que l’état de santé du recourant était déjà bien fragilisé avant les faits, qu’il avait déjà subi plusieurs interventions, qu’il était notamment suivi par un rhumatologue depuis 12 ans pour une maladie de Forestier évolutive, qu’il était connu pour une cardiopa­thie isché­mique qui avait nécessité la pose de stents en 2007 et 2018, qu’il avait déjà bénéficié d’une prise en charge en clinique de réhabilitation en 2017, 2018, 2019 2020 et 2021 en raison de problèmes de mobilité et de douleurs chroniques et que, au moment des faits, il présentait déjà des douleurs chroniques des quatre membres, plus marquées à l’épaule et au genou gauches. Si les documents médicaux produits ne permettent pas de déterminer précisément quelles lésions ont été entraînées par la chute litigieuse, il apparaît que les douleurs chroniques que le recourant présentait déjà aux quatre membres se sont encore aggravées en raison de sa chute du 10 janvier 2022. L’existence de lésions corporelles simples est donc avérée. Dans sa plainte, le recourant s’est indigné du court laps de temps durant lequel le train dans lequel il était monté était resté en gare en raison de son retard, sans toutefois prétendre que les portes se seraient refermées avant qu’il ait été à l’intérieur du wagon, ni que le train serait parti alors qu’il était encore sur les marches du wagon. Ainsi, dans son récit, le recourant n’expose pas le moindre motif factuel ou juridique permettant de se convaincre que les F.________ auraient violé leur devoir de prudence. En effet, le plaignant a fait le choix de monter dans un wagon première classe à un endroit inadéquat pour lui, comme l’atteste le fait que, de son propre aveu, il « n’arrivais[t] pas à monter dans le wagon » en raison de son état de santé déjà dégradé et de ses douleurs (P. 9). Pour des raisons de sécurité, cela même pour des trains transportant plusieurs centaines de voyageurs, le chef de train ne donne pas le départ si des voyageurs sont encore en train de monter dans un wagon. Le plaignant a admis lui-même avoir stressé et paniqué au moment où le signal sonore avertissant la prochaine fermeture des portes avait retenti, mais avoir tout de même réussi à monter dans le train. On ne voit dès lors pas quel devoir de prudence aurait été violé par les F.________. Mal fondé, ce moyen doit être rejeté. Le plaignant s’en est également pris à la hauteur des marches du train qu’il considère comme excessive. Le recourant ne prétend pas être un handicapé au sens de la LHand, loi qui ne lui est d’ailleurs pas applicable et qui ne lui permettrait de toute manière pas de retenir une violation du devoir de diligence des F.________ en cas de non-conformité constatée, mais uniquement un droit à la suppression de l’inégalité ou au versement d’une indemnité pour non-respect d’une prescription (cf. art. 7 al. 2 et 8 al. 3 LHand). Les photographies montrant une personne mesu­rant la hauteur de la première marche d’un wagon (P. 9) n’ont aucune force probante pour établir la hauteur de la marche utilisée par le recourant, seule pertinente, dès lors que l’on ignore dans quelles conditions celles-ci ont été prises. Quoi qu’il en soit, la hauteur de la première marche de l’escalier du train emprunté par le recourant, même supérieure à 230 mm, était conforme aux normes en vigueur puisque, comme l’a relevé l’OFT dans son courrier du 11 mai 2022 (P. 9), le délai d’adaptation aux normes européennes n’arrivera à échéance qu’en 2040. En outre, la présence d’un wagon avec un accès de plain-pied (P. 9), qui n’est pas contestée par le recourant, montre bien la volonté des F.________ de faciliter et de sécuriser l’accès aux wagons de ses trains aux passagers à mobilité réduite. Si, en raison d’un problème physique, le plaignant était dans l’incapacité de monter la marche qui lui permettait d’accéder aux wagons de première classe, il lui appartenait de demander de l’aide au contrô­leur, qui l’aurait alors dirigé sur l’accès de plain-pied. Il ne saurait reprocher aux F.________ son propre comportement qui, en l’occurrence, est, de son propre aveu, seul en cause dans le fait qu’il a paniqué, stressé et tiré fort sur les rampes pour monter dans le wagon ; toujours de son propre aveu, c’est ce stress et cet effort qui l’ont fait tomber en avant dans le wagon. Dans ces conditions, aucune norme de sécurité n'a été violée par les F.________ et aucun manquement blâmable ne peut leur être reproché. Partant, aucune négligence ne peut être imputée aux F.________, de sorte que les éléments constitutifs de l’infraction de lésions corporelles par négligence au sens de l’art. 125 CP ne sont manifestement pas réunis. C’est donc à juste titre que le Ministère public n’est pas entré en matière sur la plainte de P.________, les conditions de l’art. 310 al. 1 let. a CPP étant réalisées. 4. Il résulte de ce qui précède que le recours interjeté par P.________, manifestement mal fondé, doit être rejeté,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 CPP). Ces frais seront compensés à due concurrence avec le montant des sûretés de 550 fr. déjà versé par le recourant, le solde de 660 fr. restant à sa charge (art. 7 TFIP). Par ces motifs, la Chambre des recours pénale prononce : I. Le recours est rejeté. II. L’ordonnance du 6 mai 2022 est confirmée. III. Les frais d’arrêt, par 1'210 fr. (mille deux cent dix francs), sont mis à la charge d’P.________. IV. L’avance de frais de 550 fr. (cinq cent cinquante francs) versée par P.________ est imputée sur les frais mis à sa charge au chiffre III ci-dessus, le solde dû s’élevant à 660 fr. (six cent soixante francs). V. L’arrêt est exécutoire. La présidente :               La greffière : Du Le présent arrêt, dont la rédaction a été approuvée à huis clos, est notifié, par l'envoi d'une copie complète, à :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 2.3 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