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840 vom 11. November 2022</w:t>
      </w:r>
    </w:p>
    <w:p>
      <w:r>
        <w:t>VD Tribunal cantonal, 2022-11-11, FR</w:t>
      </w:r>
    </w:p>
    <w:p>
      <w:r>
        <w:rPr>
          <w:b/>
        </w:rPr>
        <w:t xml:space="preserve">Quelle: </w:t>
      </w:r>
      <w:r>
        <w:t>https://mcp.opencaselaw.ch/entscheid/vd_findinfo_D_cision___2022___840</w:t>
      </w:r>
    </w:p>
    <w:p>
      <w:r>
        <w:t>FR: VD_FINDINFO Décision / 2022 / 840 du 11 novembre 2022</w:t>
      </w:r>
    </w:p>
    <w:p>
      <w:r>
        <w:t>IT: VD_FINDINFO Décision / 2022 / 840 del 11 novembre 2022</w:t>
      </w:r>
    </w:p>
    <w:p>
      <w:pPr>
        <w:pStyle w:val="Heading2"/>
      </w:pPr>
      <w:r>
        <w:t>Regeste</w:t>
      </w:r>
    </w:p>
    <w:p>
      <w:r>
        <w:t>ORDONNANCE DE NON-ENTRÉE EN MATIÈRE, REJET DE LA DEMANDE, QUALITÉ POUR RECOURIR | 310 CPP (CH), 382 al. 1 CPP (CH)</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Conformément à l’art. 382 al. 1 CPP, toute partie qui a un intérêt juridiquement protégé à l’annulation ou à la modification de la décision entreprise a qualité pour recourir contre celle-ci. Il existe un intérêt juridiquement protégé lorsque le recourant est touché directement et immédiatement dans ses droits propres ; le recourant doit ainsi établir que la décision attaquée viole une règle de droit qui a pour but de protéger ses intérêts et qu’il peut en conséquence en déduire un droit objectif ; une partie qui n’est pas concrètement lésée par la décision ne possède donc pas la qualité pour recourir (ATF 145 IV 161 consid. 3.1 ; ATF 141 IV 1 consid. 3.1). Les droits touchés sont les biens juridiques individuels tels que la vie et l'intégrité corporelle, la propriété, l'honneur, etc. (ATF 141 IV 1 consid. 3.1). Lorsque l’infraction protège en première ligne l’intérêt collectif, les particuliers ne sont considérés comme lésés que s’ils sont atteints dans leurs doits par l’infraction décrite et que cette atteinte est la conséquence directe du comportement répréhensible (ATF 141 IV 454 consid. 2.3.1 ; ATF 140 IV 155 consid. 3.2 ; ATF 138 IV 258 consid. -2.3 ; ATF 129 IV 95 consid. 3.1 et les références citées ; Perrier Depeursinge, op. cit., n. 11 ad art. 115 CPP). Un dommage n’est pas nécessaire pour être lésé au sens de l’art. 115 CPP. L’atteinte directe selon cette disposition se rapporte à la violation du droit pénal et non à un dommage (ATF 139 IV 78 consid. 3.3.3 ; TF 6B_900/2018 du 27 septembre 2019 consid. 2.1). Pour être directement touché, le lésé doit en outre subir une atteinte en rapport de causalité directe avec l'infraction poursuivie, ce qui exclut les dommages par ricochet (TF 1B_507 et 508/2020 du 8 février 2021 consid. 3.1 ; TF 6B_608/2020 du 4 décembre 2020 consid. 3.1). Par ailleurs, le recourant doit avoir un intérêt actuel et pratique au recours, respectivement à l’examen des griefs soulevés (ATF 146 II 335 consid. 1.3 ; ATF 142 I 135 consid. 1.3.1 ; TF 1B_550/2021 du 13 janvier 2022 consid. 3.2). Faute d’intérêt juridiquement protégé, le recours est irrecevable (ATF 144 IV 81 consid. 2.3.1).</w:t>
      </w:r>
    </w:p>
    <w:p>
      <w:r>
        <w:rPr>
          <w:b/>
        </w:rPr>
        <w:t>E. 1.3</w:t>
      </w:r>
    </w:p>
    <w:p>
      <w:r>
        <w:t>En l’occurrence, le recours a été interjeté en temps utile et dans les formes prescrites. Il a été déposé par B.X.________, son épouse et A.X.________. Or B.X.________ et son épouse ne sont pas partie à la procédure et, surtout, ils ne sont pas directement atteints par les infractions dénoncées, de sorte qu’ils n’ont pas d’intérêt juridiquement protégé à recourir contre cette ordonnance de non-entrée en matière. Pour cette raison, leur recours est irrecevable. L’acte de recours émane également de la plaignante A.X.________. En cela, le recours est recevable, celle-ci ayant un intérêt juridiquement protégé à l’annulation ou à la modification de l’ordonnance du 25 juillet 2022 au sens de la jurisprudence mentionnée ci-dessus. Quant aux courriers de A.X.________ des 28 juillet 2022 et 18 août 2022 intervenus après la reddition de l’ordonnance de non-entrée en matière du 25 juillet 2022, ils sont intitulés « Complément de plainte pour les mêmes motifs signalés le 18 mai 2022 pour photos de ma vie privée transmise à des tiers » respectivement « Plainte pour prises de photos et pétition par Madame [...] , Avenue [...] , [...] Lausanne ». Ces correspondances sont irrecevables en tant que recours, celles-ci ne s’attaquant pas à l’ordonnance de non-entrée en matière.</w:t>
      </w:r>
    </w:p>
    <w:p>
      <w:r>
        <w:rPr>
          <w:b/>
        </w:rPr>
        <w:t>E. 2</w:t>
      </w:r>
    </w:p>
    <w:p>
      <w:r>
        <w:t>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w:t>
      </w:r>
    </w:p>
    <w:p>
      <w:r>
        <w:rPr>
          <w:b/>
        </w:rPr>
        <w:t>E. 2.1</w:t>
      </w:r>
    </w:p>
    <w:p>
      <w:r>
        <w:t>p. 69).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et les arrêts cités; TF 6B_258/2021 du 12 juillet 2021 consid. 2.2; TF 6B_1164/2020 du 10 juin 2021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TF 6B_488/2021 du 22 décembre 2021 consid. 5.3; TF 6B_766/2018 du 28 septembre 2018 consid. 3.1). Suivant les circonstances, les mêmes motifs peuvent aussi permettre, en particulier si la crédibilité de la partie plaignante est d'emblée remise en question par des éléments manifestement probants, de rendre une décision de non-entrée en matière (TF 6B_933/2021 du 21 février 2021 consid. 2.1 ; TF 6B_766/2018 précité consid. 3.1; TF 6B_179/2018 du 27 juillet 2018 consid. 3.1).</w:t>
      </w:r>
    </w:p>
    <w:p>
      <w:r>
        <w:rPr>
          <w:b/>
        </w:rPr>
        <w:t>E. 3.1</w:t>
      </w:r>
    </w:p>
    <w:p>
      <w:r>
        <w:t>En premier lieu, la Cour constate que les moyens invoqués par la recourante en lien avec le placement de son enfant par la Direction de l’enfance et de la jeunesse (ci-après : DGEJ) sont irrecevables dès lors que ce placement ne fait pas l’objet de la procédure pénale et ne relève pas de la compétence de la Chambre de céans.</w:t>
      </w:r>
    </w:p>
    <w:p>
      <w:r>
        <w:rPr>
          <w:b/>
        </w:rPr>
        <w:t>E. 3.2</w:t>
      </w:r>
    </w:p>
    <w:p>
      <w:r>
        <w:t>Ensuite, s’agissant des évènements du 3 mars 2022, lorsque Q.________ est venu frapper à la porte de la plaignante tard le soir au motif qu’elle faisait beaucoup de bruit, les versions des parties sont divergentes et aucune mesure d’instruction n’est de nature à permettre d’établir plus précisément les faits et de trancher entre ces deux versions. En particulier, il n’y a eu aucun témoin. En outre, il est erroné de prétendre que Q.________ aurait reconnu les faits en disant qu’il voulait « une discussion entre adultes, porte ouverte ». Il ne suffit par ailleurs pas de frapper en pleine nuit à la porte d’un voisin qui fait du bruit pour qu’une infraction pénale soit réalisée. Dans ces circonstances, une condamnation apparaît improbable et c’est donc à juste titre que le Ministère public a prononcé une ordonnance de non-entrée en matière sur ce point.</w:t>
      </w:r>
    </w:p>
    <w:p>
      <w:r>
        <w:rPr>
          <w:b/>
        </w:rPr>
        <w:t>E. 3.3</w:t>
      </w:r>
    </w:p>
    <w:p>
      <w:r>
        <w:t>Quant à l’empoisonnement des animaux de la recourante, elle a produit une facture du 21 janvier 2022 de 1'163 fr. et une attestation qui indique « méningite infectieuse, intoxication ». Or, même s’il fallait admettre que les soins étaient liés à un empoisonnement, ce qui n’est pas établi, encore faudrait-il que celui-ci soit dû à un acte de malveillance, ce qui n’est pas non plus prouvé par les éléments fournis ; de plus, rien ne permet de déterminer ce qui aurait provoqué cet éventuel empoisonnement et en particulier pas qu’il est imputable à Q.________. Or, malgré la demande de précision du Ministère public à la plaignante, aucun élément au dossier ne permet d’incriminer qui que ce soit et aucun acte d’instruction n’est propre à le faire. La plaignante n’en propose par ailleurs aucun.</w:t>
      </w:r>
    </w:p>
    <w:p>
      <w:r>
        <w:rPr>
          <w:b/>
        </w:rPr>
        <w:t>E. 3.4</w:t>
      </w:r>
    </w:p>
    <w:p>
      <w:r>
        <w:t>Il en va de même des mégots que A.X.________ aurait retrouvés dans son jardin dont on ignore le nombre et le moment où ils auraient été jetés ; encore faudrait-il que leur présence relève de la malveillance et non de la négligence. Aucune mesure d’instruction ne permettra d’établir les faits qu’elle dénonce et encore moins qui aurait jeté ces mégots. L’ordonnance de non-entrée sur cette question est ainsi également bien fondée à cet égard.</w:t>
      </w:r>
    </w:p>
    <w:p>
      <w:r>
        <w:rPr>
          <w:b/>
        </w:rPr>
        <w:t>E. 3.5</w:t>
      </w:r>
    </w:p>
    <w:p>
      <w:r>
        <w:t>S’agissant des photographies de l’intérieur de son appartement, on comprend du courrier reçu le 16 mai 2022 qu’elles auraient été prises par des voisins et fournies aux assistants sociaux qui sont intervenus le 16 mars 2022 à son domicile. Or la recourante ne fournit aucune de ces images, ni la description de celles-ci, ni ne renseigne sur le moment où elles auraient été prises, ni depuis où, alors même que l’infraction de l’art. 179quater CP (Violation du domaine secret ou du domaine privé au moyen d’un appareil de prise de vues) se poursuit sur plainte et que le Ministère public l’avait invitée à fournir ces renseignements. Dans ces circonstances, l’ordonnance de non-entrée en matière est bien fondée.</w:t>
      </w:r>
    </w:p>
    <w:p>
      <w:r>
        <w:rPr>
          <w:b/>
        </w:rPr>
        <w:t>E. 4.1</w:t>
      </w:r>
    </w:p>
    <w:p>
      <w:r>
        <w:t>Au vu de ce qui précède, le recours, manifestement mal fondé, doit être rejeté dans la mesure où il est recevable, sans échange d'écritures (art. 390 al. 2 CPP), et l'ordonnance du 25 juillet 2022 confirmée. Les frais d’arrêt (art. 422 al. 1 CPP), par 1’100 fr. (art. 20 al. 1 TFIP [tarif des frais de procédure et indemnités en matière pénale du 28 septembre 2010 ; BLV 312.03.1]), seront mis à la charge d’B.X.________, de [...] et de A.X.________, qui succombent, solidairement entre eux (art. 428 al. 1 CPP). Le montant de 100 fr. déjà versé par les recourants à titre de sûretés sera imputé sur ces frais (art. 7 TFIP). La recourante demande l’assistance judiciaire, sans préciser plus avant l’étendue de celle-ci.</w:t>
      </w:r>
    </w:p>
    <w:p>
      <w:r>
        <w:rPr>
          <w:b/>
        </w:rPr>
        <w:t>E. 4.2</w:t>
      </w:r>
    </w:p>
    <w:p>
      <w:r>
        <w:t>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 plaignante l'exige (let. c). Comme le recours était dénué de toute chance de succès et que les conditions d’une éventuelle action civile ne sont ainsi manifestement pas réunies, la requête d’assistance judiciaire doit être rejetée. Par ces motifs, la Chambre des recours pénale prononce : I. Le recours d’B.X.________ et de [...] est irrecevable. II. Le recours de A.X.________ est rejeté dans la mesure où il est recevable. III. La requête d’assistance judiciaire est rejetée. IV. Les frais d'arrêt, par 1’100 fr. (mille cent francs), sont mis à la charge d’B.X.________, de [...] et de A.X.________, et solidairement entre eux. V. Le montant de 100 fr. (cent francs) déjà versé par les recourants à titre de sûretés est imputé sur les frais mis à leur charge au chiffre IV ci-dessus. VI. L’arrêt est exécutoire. La présidente :               La greffière : Du Le présent arrêt, dont la rédaction a été approuvée à huis clos, est notifié, par l'envoi d'une copie complète, à : - M. B.X.________, - Mme [...] , - Mme A.X.________,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