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81 vom 27. November 2021</w:t>
      </w:r>
    </w:p>
    <w:p>
      <w:r>
        <w:t>VD Tribunal cantonal, 2021-11-27, FR</w:t>
      </w:r>
    </w:p>
    <w:p>
      <w:r>
        <w:rPr>
          <w:b/>
        </w:rPr>
        <w:t xml:space="preserve">Quelle: </w:t>
      </w:r>
      <w:r>
        <w:t>https://mcp.opencaselaw.ch/entscheid/vd_findinfo_D_cision___2022___81</w:t>
      </w:r>
    </w:p>
    <w:p>
      <w:r>
        <w:t>FR: VD_FINDINFO Décision / 2022 / 81 du 27 novembre 2021</w:t>
      </w:r>
    </w:p>
    <w:p>
      <w:r>
        <w:t>IT: VD_FINDINFO Décision / 2022 / 81 del 27 novembre 2021</w:t>
      </w:r>
    </w:p>
    <w:p>
      <w:pPr>
        <w:pStyle w:val="Heading2"/>
      </w:pPr>
      <w:r>
        <w:t>Regeste</w:t>
      </w:r>
    </w:p>
    <w:p>
      <w:r>
        <w:t>FRAIS DE LA PROCÉDURE, INDEMNITÉ{EN GÉNÉRAL}, DROIT D'ÊTRE ENTENDU | 29 al. 2 Cst., 426 al. 2 CPP (CH), 429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En l’espèce, interjeté en temps utile devant l’autorité compétente, par le prévenu qui a qualité pour recourir (art. 382 al. 1 CPP) et dans les formes prescrites (art. 385 al. 1 CPP), le recours de Q.________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puisque le recours porte exclusivement sur les effets accessoires de l’ordonnance de classement, plus particulièrement sur les frais de procédure mis à la charge du prévenu, d’un montant de 300 francs, et l'indemnité en application de l'art. 429 CPP qui lui a été refusée, d'un montant de 3'895 fr. 10 . Le recours relève donc de la compétence d'un membre de la Chambre des recours pénale en tant que juge unique.</w:t>
      </w:r>
    </w:p>
    <w:p>
      <w:r>
        <w:rPr>
          <w:b/>
        </w:rPr>
        <w:t>E. 2.1</w:t>
      </w:r>
    </w:p>
    <w:p>
      <w:r>
        <w:t>Le recourant fait tout d'abord grief au Ministère public d'avoir, dans une motivation très succincte, considéré à tort qu'il aurait provoqué l'ouverture de la procédure pénale par son comportement fautif, à savoir la perte de maîtrise de la voiturette, et d'avoir dès lors mis les frais de procédure à sa charge. Il relève à ce propos ne pas avoir agi illicitement ou fautivement au regard du droit civil en perdant le contrôle du véhicule alors qu'il procédait à son essai et que l'autorité ne se fonde sur aucune base légale pour retenir qu'une obligation de comportement existerait. Il ajoute que, l'accident ayant eu lieu sur le domaine privé et aucune plainte n'ayant été déposée, l'autorité pénale n'aurait pas dû intervenir et qu'elle a fait preuve de zèle, ce qui exclut que les frais soient mis à sa charge. Le recourant indique enfin que, dans la mesure où une ordonnance de classement a été rendue à son encontre et où il n'a pas provoqué l'ouverture de la procédure par un comportement illicite et fautif, il a droit à une indemnité pour les dépenses obligatoires occasionnées par l'exercice de ses droits de procédure.</w:t>
      </w:r>
    </w:p>
    <w:p>
      <w:r>
        <w:rPr>
          <w:b/>
        </w:rPr>
        <w:t>E. 2.2</w:t>
      </w:r>
    </w:p>
    <w:p>
      <w:r>
        <w:t>a) Le droit d'être d'entendu découlant des art. 29 al. 2 Cst. (Constitution fédérale de la Confédération suisse du 18 avril 1999 ; RS 101), 3 al. 2 let. c et 107 CPP comprend le droit, pour le justiciable, de s'exprimer sur les éléments pertinents avant qu'une décision ne soit prise touchant sa situation juridique (ATF 142 II 218 consid. 2.3 ; ATF 136 I 184 consid. 2.2.1). Il comprend également l’obligation pour le juge de motiver sa décision afin que le justiciable puisse la comprendre, se rendre compte de la portée de celle-ci et exercer son droit de recours à bon escient, et que l’autorité de recours puisse exercer son contrôle (ATF 143 IV 40 consid. 3.4.3 ; ATF 141 IV 249 consid. 1.3.1).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 ATF 139 IV 179 consid. 2.2 ; TF 1B_335/2019 du 16 janvier 2020 consid. 3.1.1).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CREP 27 août 2020/637 ; CREP 29 octobre 2018/845). La jurisprudence n'exclut donc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ATF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 ATF 137 I 195 précité ; ATF 136 V 117 consid. 4.2.2.2). b)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6B_1458/2020 du 7 avril 2021 consid. 1.2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respectivement l’exclusion d’une indemnité, le juge peut prendre en considération toute norme de comportement écrite ou non écrite résultant de l'ordre juridique suisse pris dans son ensemble, dans le sens d'une application par analogie des principes découlant de l'art. 41 CO (Code des obligations ; RS 220). Le fait reproché doit constituer une violation claire de la norme de comportement (ATF 144 IV 202 précité ; TF 6B_886/2018 précité).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 TF 6B_300/2012 du 10 juin 2013 consid. 2.4 ; CREP 11 février 2019/77 consid. 2.2.2). c) 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Toujours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TF 6B_1238/2017 du 12 avril 2018 consid. 2.1).</w:t>
      </w:r>
    </w:p>
    <w:p>
      <w:r>
        <w:rPr>
          <w:b/>
        </w:rPr>
        <w:t>E. 2.3</w:t>
      </w:r>
    </w:p>
    <w:p>
      <w:r>
        <w:t>En l'espèce, la procureure indique en effet très succinctement les raisons pour lesquelles les frais de procédure devraient être mis à la charge du recourant, retenant qu'il a provoqué l'ouverture de la procédure pénale par son comportement fautif, à savoir la perte de maîtrise de la voiturette. Toutefois, elle ne mentionne aucunement la ou les base(s) légale(s), norme(s) ou règle(s) de comportement de l'ordre juridique suisse qui aurai(en)t été enfreinte(s) par le prévenu dans le cas particulier, qui assoirai(en)t l'aspect fautif de son comportement et justifierai(en)t que les frais de procédure soient mis à sa charge ainsi que, partant, l'exclusion d'une indemnité. Pourtant, il ressort de la jurisprudence que seul entre en ligne de compte un comportement fautif qui est contraire à une règle juridique. Ce dernier élément est donc primordial et doit nécessairement être mentionné dans la décision par laquelle les frais sont mis à la charge d'un prévenu afin de permettre à ce dernier de se défendre utilement. La décision entreprise n'indiquant pas la base légale, norme ou règle qui aurait été enfreinte dans le cas d'espèce, elle est insuffisamment motivée à ce propos. Il y a donc eu une violation du droit d'être entendu du recourant. Il en découle que l'ordonnance entreprise doit être annulée au point III de son dispositif et la cause renvoyée à l'autorité précédente pour qu'elle rende une nouvelle décision suffisamment motivée. La question de l'indemnité allouée ou non en application de l'art. 429 CP devant être tranchée après le sort des frais, le point II du dispositif doit également être annulé et cette problématique devra aussi être revue par l'autorité de première instance.</w:t>
      </w:r>
    </w:p>
    <w:p>
      <w:r>
        <w:rPr>
          <w:b/>
        </w:rPr>
        <w:t>E. 3</w:t>
      </w:r>
    </w:p>
    <w:p>
      <w:r>
        <w:t>Il résulte de ce qui précède que le recours doit être admis, l’ordonnance attaquée annulée aux points II et III de son dispositif et la cause renvoyée au Ministère public pour qu'il rende une nouvelle décision à cet égard dans le sens des considérants.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recourant, qui a procédé avec l’assistance d’un conseil de choix et a obtenu gain de cause, a droit à une indemnité pour les dépenses occasionnées par la procédure de recours (art. 433 al. 1 let. a et 436 al. 1 CPP). Toutefois, au vu du mémoire produit et du peu de difficulté de la cause, le nombre d'heures annoncé (300 min. par un avocat-stagiaire et 60 min. par un breveté) est disproportionné. Il sera donc réduit à quatre heures, soit trois heures pour l'avocat-stagiaire et une heure pour l'avocat breveté. Par ailleurs, le dossier n'étant pas complexe, un tarif horaire de 300 fr., au lieu des 550 fr. requis, sera retenu pour l'avocat breveté et de 160 fr., au lieu des 250 fr. demandés, pour l'avocat-stagiaire (art. 26a al. 3 TFIP). L'indemnité sera donc fixée à 780 fr. (480 fr. + 300 fr.), montant auquel il convient d’ajouter des débours forfaitaires à concurrence de 2 % des honoraires estimés (art. 19 al. 2 TDC [Tarif des dépens en matière civile du 23 novembre 2010 ; BLV 270.11.6], applicable par renvoi de l’art. 26a al. 6 TFIP), par 15 fr. 60, plus la TVA au taux de 7,7 %, par 61 fr. 30, soit 857 fr. au total en chiffres arrondis. Par ces motifs, le juge unique prononce : I. Le recours est admis. II. L'ordonnance du 4 novembre 2021 est annulée aux points II et III de son dispositif. L'ordonnance est confirmée pour le surplus. III. Le dossier de la cause est renvoyé au Ministère public de l'arrondissement de l'Est vaudois pour qu'il procède dans le sens des considérants. IV. Les frais d’arrêt, par 1'100 fr. (mille cent francs), sont laissés à la charge de l’Etat. V. Une indemnité de 857 fr. (huit cent cinquante-sept francs) est allouée à Q.________ pour les dépenses occasionnées par la procédure de recours, à la charge de l'Etat. VI. L’arrêt est exécutoire. Le juge unique :               La greffière : Du Le présent arrêt, dont la rédaction a été approuvée à huis clos, est notifié, par l'envoi d'une copie complète, à : - Me Romain Jordan, avocat (pour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