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808 vom 25. Oktober 2022</w:t>
      </w:r>
    </w:p>
    <w:p>
      <w:r>
        <w:t>VD Tribunal cantonal, 2022-10-25, FR</w:t>
      </w:r>
    </w:p>
    <w:p>
      <w:r>
        <w:rPr>
          <w:b/>
        </w:rPr>
        <w:t xml:space="preserve">Quelle: </w:t>
      </w:r>
      <w:r>
        <w:t>https://mcp.opencaselaw.ch/entscheid/vd_findinfo_D_cision___2022___808</w:t>
      </w:r>
    </w:p>
    <w:p>
      <w:r>
        <w:t>FR: VD_FINDINFO Décision / 2022 / 808 du 25 octobre 2022</w:t>
      </w:r>
    </w:p>
    <w:p>
      <w:r>
        <w:t>IT: VD_FINDINFO Décision / 2022 / 808 del 25 ottobre 2022</w:t>
      </w:r>
    </w:p>
    <w:p>
      <w:pPr>
        <w:pStyle w:val="Heading2"/>
      </w:pPr>
      <w:r>
        <w:t>Regeste</w:t>
      </w:r>
    </w:p>
    <w:p>
      <w:r>
        <w:t>DÉTENTION POUR DES MOTIFS DE SÛRETÉ, RISQUE DE RÉCIDIVE | 221 al. 1 let. c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Le recourant doit en particulier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w:t>
      </w:r>
    </w:p>
    <w:p>
      <w:r>
        <w:rPr>
          <w:b/>
        </w:rPr>
        <w:t>E. 1.2</w:t>
      </w:r>
    </w:p>
    <w:p>
      <w:r>
        <w:t>En l’espèce, L.________ invoque qu’il risquerait de perdre son appartement s’il était maintenu en détention, que sa belle-mère serait atteinte d’un cancer et que sa compagne aurait fait une fausse couche, de sorte que celle-ci aurait besoin de lui à ses côtés. Le recourant allègue ensuite que sa mise en détention pour des motifs de sûreté serait une mesure « extrêmement sévère », alors qu’il pourrait « attendre » chez lui, ce qui lui permettrait à la fois de conserver son appartement et d’entreprendre les démarches pour trouver un emploi. Il relève ensuite qu’il n’y aurait plus de risque de fuite ni de collusion, affirme que ce ne serait pas en le maintenant détenu qu’il pourrait prouver qu’il aurait changé, puis déclare : « surtout ça serait encore plus stupide de réitérer au risque de tout perdre ». Il affirme enfin regretter ses agissements et demande à être entendu. Ce faisant, le recourant invoque essentiellement des motifs relatifs à sa situation personnelle qui ne sont pas pertinents et ne critique pas précisément la motivation de la décision du Tribunal des mesures de contrainte. Le recours ne répond par conséquent pas aux exigences de l’art. 385 al. 1 let. b CPP et n’est donc pas recevable. Quoi qu’il en soit, dans la faible mesure où il pourrait l’être – à savoir en ce sens qu’il constaterait très implicitement l’existence d’un risque de récidive en disant que cela serait stupide de tout perdre, d’une part, et qu’il invoquerait très implicitement la violation de la proportionnalité en disant que la décision est sévère –, il devrait être rejeté pour les motifs qui suivent, étant précisé que le recours fait l’objet d’une procédure écrite (art. 397 al. 1 CPP), l’autorité de céans ayant une pleine cognition en fait et en droit (TF 1B_23/2022 du 25 mai 2022 consid. 3.3) et ne tenant une audience que s’il existe des circonstances exceptionnelles qui le justifieraient, ce qui n’est pas le cas en l’espèce (cf. TF 6B_106/2021 du 29 novembre 2021 consid. 2.1 et les références citées).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 ATF 143 IV 9 précité consid. 2.9 ; TF 1B_88/2022 du 29 mars 2022 consid. 3.1). S’agissant plus spécifiquement des infractions contre le patrimoine, la jurisprudence du Tribunal fédéral délimite strictement les conditions pour détenir provisoirement un prévenu en raison de l’existence d’un risque de réitération (ATF 146 IV 136 consid. 2.3 ; TF 1B_43/2020 du 14 février 2020 consid. 2.1 ; TF 1B_112/2020 du 20 mars 2020 consid.</w:t>
      </w:r>
    </w:p>
    <w:p>
      <w:r>
        <w:rPr>
          <w:b/>
        </w:rPr>
        <w:t>E. 3</w:t>
      </w:r>
    </w:p>
    <w:p>
      <w:r>
        <w:t>; TF 1B_595/2019 du 10 janvier 2020, RSJ 7/2020 pp. 248 s.).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et réf. cit. ; ATF 143 IV 9 consid. 2.7 ; TF 1B_188/2022 du 9 mai 2022 consid. 3.1). Tel est le cas des infractions de vol par métier ou en bande lorsque de nombreux cas sont en jeu, ou de vols par effraction vu le risque de dérapage violent pouvant survenir lors de confrontation avec les victimes, notamment lorsque le voleur cherche à se procurer de la drogue (TF 1B_32/2017 du 4 mai 2017 consid. 3.3.5 et réf. cit. ; CREP 21 janvier 2020/29 ; CREP 1 er mai 2018/316).</w:t>
      </w:r>
    </w:p>
    <w:p>
      <w:r>
        <w:rPr>
          <w:b/>
        </w:rPr>
        <w:t>E. 3.1</w:t>
      </w:r>
    </w:p>
    <w:p>
      <w:r>
        <w:t>L’existence de soupçons suffisants de la commission d’une infraction n’est en l’occurrence pas contestable au vu de l’acte d’accusation du 3 octobre 2022 et de la reconnaissance de l’essentiel des faits par le prévenu. La détention pour des motifs de sûreté du prévenu est fondée sur le risque de réitération. Le recourant invoque, en substance, qu’il aurait changé en détention et qu’il serait « stupide » de sa part de récidiver. Il prétend que la détention serait « extrêmement sévère » .</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w:t>
      </w:r>
    </w:p>
    <w:p>
      <w:r>
        <w:rPr>
          <w:b/>
        </w:rPr>
        <w:t>E. 3.3</w:t>
      </w:r>
    </w:p>
    <w:p>
      <w:r>
        <w:t>En l’espèce, le prévenu est renvoyé devant le Tribunal correctionnel de Lausanne pour vol par métier, soit pour quatorze cas de vol commis en quelques mois dont plusieurs par effraction ; il lui est ainsi notamment reproché de s’être introduit par effraction dans des logements et des voitures pour y dérober des biens ainsi que d’avoir adopté une attitude oppositionnelle et agressive à l’égard des policiers qui l’ont interpellé. Or, il a été condamné dix-sept fois entre le 11 septembre 2007 et le 16 décembre 2021, notamment pour des infractions de même nature, soit des infractions contre le patrimoine et contre l’autorité publique, mais également pour des comportements violents, tels que des lésions corporelles simples qualifiées, des voies de fait et des menaces. Ces dix-sept condamnations et les peines privatives de liberté qu’il a subies n’ont manifestement exercé aucune influence sur lui et ne l’ont pas dissuadé de récidiver. A cela s’ajoute enfin que, comme l’a relevé le Ministère public, la situation financière du prévenu est précaire. Au bénéfice de l’aide sociale et faisant l’objet d’une curatelle, le prévenu est endetté. Compte tenu de tous ces éléments, le risque qu’il commette à nouveau des infractions est donc très élevé. Quant au principe de la proportionnalité (cf. art. 212 al. 3 et 237 CPP), il demeure respecté, aucune mesure de substitution n’étant à même de pallier efficacement le risque précité. Une assignation à résidence en particulier, comme semble le suggérer le recourant, n’est pas suffisante puisqu’elle ne permet de constater qu’ a posteriori la récidive. En outre, selon la jurisprudence du Tribunal fédéral, un délai de quatre mois entre la reddition de l’acte d’accusation et la tenue des débats est admissible (TF 1B_585/2019 du 30 décembre 2019 consid. 3.2). Enfin, détenu depuis le 7 avril 2022, le recourant encourt, au vu des faits qui lui sont reprochés, du concours d’infractions et de ses antécédents, une peine d’une durée supérieure à la période de détention qu’il a subie à ce jour, respectivement qu’il aura subie le 16 janvier 2023.</w:t>
      </w:r>
    </w:p>
    <w:p>
      <w:r>
        <w:rPr>
          <w:b/>
        </w:rPr>
        <w:t>E. 4</w:t>
      </w:r>
    </w:p>
    <w:p>
      <w:r>
        <w:t>Il résulte de ce qui précède que le recours, manifestement mal fondé, doit être rejeté, dans la mesure où il est recevable, sans échange d’écritures (art. 390 al. 2 CPP) et l’ordonnance entreprise confirmée. Vu le sort du recours, les frais de la procédure,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12 octobre 2022 est confirmée. III. Les frais d’arrêt, par 990 fr. (neuf cent nonante francs), sont mis à la charge d’L.________. IV. L’arrêt est exécutoire. La présidente :               La greffière : Du Le présent arrêt, dont la rédaction a été approuvée à huis clos, est notifié, par l'envoi d'une copie complète, à : - Me Patrick Moser, avocat (pour L.________), - Ministère public central, et communiqué à : - M. L.________, - M. le Président du Tribunal des mesures de contrainte, ‑ M. le Président du Tribunal correctionnel de l’arrondissement de Lausanne,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