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804 vom 21. Oktober 2022</w:t>
      </w:r>
    </w:p>
    <w:p>
      <w:r>
        <w:t>VD Tribunal cantonal, 2022-10-21, FR</w:t>
      </w:r>
    </w:p>
    <w:p>
      <w:r>
        <w:rPr>
          <w:b/>
        </w:rPr>
        <w:t xml:space="preserve">Quelle: </w:t>
      </w:r>
      <w:r>
        <w:t>https://mcp.opencaselaw.ch/entscheid/vd_findinfo_D_cision___2022___804</w:t>
      </w:r>
    </w:p>
    <w:p>
      <w:r>
        <w:t>FR: VD_FINDINFO Décision / 2022 / 804 du 21 octobre 2022</w:t>
      </w:r>
    </w:p>
    <w:p>
      <w:r>
        <w:t>IT: VD_FINDINFO Décision / 2022 / 804 del 21 ottobre 2022</w:t>
      </w:r>
    </w:p>
    <w:p>
      <w:pPr>
        <w:pStyle w:val="Heading2"/>
      </w:pPr>
      <w:r>
        <w:t>Regeste</w:t>
      </w:r>
    </w:p>
    <w:p>
      <w:r>
        <w:t>RISQUE DE COLLUSION, RISQUE DE RÉCIDIVE, DÉTENTION PROVISOIRE | 221 al. 1 let. b CPP (CH), 221 al. 1 let. c CPP (CH)</w:t>
      </w:r>
    </w:p>
    <w:p>
      <w:pPr>
        <w:pStyle w:val="Heading2"/>
      </w:pPr>
      <w:r>
        <w:t>Erwägungen</w:t>
      </w:r>
    </w:p>
    <w:p>
      <w:r>
        <w:rPr>
          <w:b/>
        </w:rPr>
        <w:t>E. 7</w:t>
      </w:r>
    </w:p>
    <w:p>
      <w:r>
        <w:t>Il résulte de ce qui précède que le recours, manifestement mal fondé, doit être rejeté sans échange d’écritures (art. 390 al. 2 CPP) et l’ordonnance entreprise confirmée. Compte tenu de l’acte de recours déposé, qui consiste quasiment en un copier-coller avec celui du 24 août 2022 – à l’exception du raisonnement subsidiaire des pages 13 et 14 qui n’est pas repris – pour lequel le défenseur d’office de V.________ a été indemnisé dans l’arrêt de la Chambre de céans du 30 septembre 2022, l’indemnité allouée à l’avocat – qui ne peut être indemnisé à double pour le même travail – sera fixée à 180 fr., correspondant à une activité nécessaire d’avocat d’une heure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3 fr. 60, plus la TVA au taux de 7,7 %, par 14 fr. 15, soit à 198 fr. au total en chiffres arrondis. Vu le sort du recours, les frais de la procédure, constitués en l’espèce de l’émolument d'arrêt, par 1'430 fr. (art. 20 al. 1 TFIP), et des frais imputables à la défense d’office de V.________ (art. 422 al. 1 et 2 let. a CPP), fixés à 198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5 octobre 2022 est confirmée. III. L ’indemnité allouée au défenseur d’office de V.________ est fixée à 198 fr. (cent nonante-huit francs). IV. Les frais d’arrêt, par 1'430 fr. (mille quatre cent trente francs), ainsi que l’indemnité due au défenseur d’office du recourant, par 198 fr. (cent nonante-huit francs), sont mis à la charge de V.________. V. Le remboursement à l’Etat de l’indemnité allouée au chiffre III ci-dessus ne sera exigible que pour autant que la situation financière de V.________ le permette. VI. L’arrêt est exécutoire. La présidente :               Le greffier : Du Le présent arrêt, dont la rédaction a été approuvée à huis clos, est notifié, par l'envoi d'une copie complète, à : - Me Dario Barbosa, avocat (pour V.________), - Ministère public central, et communiqué à : ‑ Mme la Présidente du Tribunal des mesures de contrainte , - M. le Procureur de l’arrondissement de La Côte, - Me Albert Habib,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