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777 vom 7. Oktober 2022</w:t>
      </w:r>
    </w:p>
    <w:p>
      <w:r>
        <w:t>VD Tribunal cantonal, 2022-10-07, FR</w:t>
      </w:r>
    </w:p>
    <w:p>
      <w:r>
        <w:rPr>
          <w:b/>
        </w:rPr>
        <w:t xml:space="preserve">Quelle: </w:t>
      </w:r>
      <w:r>
        <w:t>https://mcp.opencaselaw.ch/entscheid/vd_findinfo_D_cision___2022___777</w:t>
      </w:r>
    </w:p>
    <w:p>
      <w:r>
        <w:t>FR: VD_FINDINFO Décision / 2022 / 777 du 7 octobre 2022</w:t>
      </w:r>
    </w:p>
    <w:p>
      <w:r>
        <w:t>IT: VD_FINDINFO Décision / 2022 / 777 del 7 ottobre 2022</w:t>
      </w:r>
    </w:p>
    <w:p>
      <w:pPr>
        <w:pStyle w:val="Heading2"/>
      </w:pPr>
      <w:r>
        <w:t>Regeste</w:t>
      </w:r>
    </w:p>
    <w:p>
      <w:r>
        <w:t>ORDONNANCE DE NON-ENTRÉE EN MATIÈRE, ACTION PÉNALE, PLAINTE PÉNALE, MOTIVATION DE LA DÉCISION, DIFFAMATION, ABUS D'AUTORITÉ, ENTRAVE À L'ACTION PÉNALE, REJET DE LA DEMANDE | 173 ch. 1 CP, 30 CP, 305 CP, 31 CP, 312 CP, 310 CPP (CH), 385 al. 1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 Aux termes de l’art. 91 al. 2 CPP, les écrits doivent être remis au plus tard le dernier jour du délai à l’autorité pénale, à la Poste suisse, à une représentation consulaire ou diplomatique suisse ou, s’agissant de personnes détenues, à la direction de l’établissement carcéral.</w:t>
      </w:r>
    </w:p>
    <w:p>
      <w:r>
        <w:rPr>
          <w:b/>
        </w:rPr>
        <w:t>E. 1.2</w:t>
      </w:r>
    </w:p>
    <w:p>
      <w:r>
        <w:t>En l’espèce, le recourant indique avoir pris connaissance de l’ordon­nance querellée le 23 juin 2022, soit le lendemain de son envoi pour notification. La fin du délai de recours coïncidant avec le dimanche 3 juillet 2022, le recours, déposé le lundi 4 juillet 2022, soit le lendemain, auprès d’une représentation diplomatique suisse en Suède conformément à l’art. 91 al. 2 CPP, a été interjeté en temps utile (cf. art. 90 CPP). Le recours de J.________ est donc recevable, sous réserve de ce qui sera exposé ci-après (cf. infra consid. 3.3).</w:t>
      </w:r>
    </w:p>
    <w:p>
      <w:r>
        <w:rPr>
          <w:b/>
        </w:rPr>
        <w:t>E. 2.1</w:t>
      </w:r>
    </w:p>
    <w:p>
      <w:r>
        <w:t>Le recourant reproche au Ministère public d’avoir refusé d’entrer en matière sur sa plainte. Il fait valoir en substance que l’Adj V.________, le Plt N.________ et l’IPA X.________ l’auraient « approché sans droit à Lausan­- ne », que le Ministère public aurait abusé de son pouvoir d’appréciation en retenant, sans interroger les prénommés, que la présence de ces policiers en civil était forcé­ment régulière, qu’il aurait fait l’objet d’une opération d’intimidation à Berne et à Neuchâtel où une quinzaine de policiers en civil auraient formé « une sorte de mur » devant l’entrée des locaux de la police afin de l’empêcher de porter plainte et qu’il serait harcelé par de nombreux policiers en civil et par « d’autres personnes apparemment partie à une sororité ou à un réseau commun ». Il allègue aussi que le courriel envoyé par B.________ aux polices cantonales de toute la Suisse contenait des propos outrageusement insultants à son égard.</w:t>
      </w:r>
    </w:p>
    <w:p>
      <w:r>
        <w:rPr>
          <w:b/>
        </w:rPr>
        <w:t>E. 2.1.1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Pour satisfaire à l’exigence de motivation de l’art. 385 al. 1 let. b CPP, la partie recourante doit exposer les arguments, de fait ou de droit, sur lesquels elle prétend se fonder pour faire modifier la décision en sa faveur (TF 6B_510/2020 du 15 septembre 2020 consid. 2.2 et réf. cit. ; Pitteloud, Code de procédure pénale suisse, Commentaire à l’usage des praticiens, Zurich/St-Gall 2012, n. 1126 ; Lieber, in : Donatsch/Hansjakob/Lieber [éd.], Kommentar zur Schweizerischen Strafprozess­ordnung, 2 e éd., Zurich/Bâle/Genève 2014, n. 2 ad art. 385 CPP). Ainsi, il doit indiquer dans quelle mesure et sous quel angle il entend critiquer l’établissement des faits ou l’application du droit (Calame, in : Jeanneret/Kuhn/Perrier Depeursinge [éd.], Commentaire romand, Code de procédure pénale suisse, Bâle 2019, n. 20 ad art. 385 CPP).</w:t>
      </w:r>
    </w:p>
    <w:p>
      <w:r>
        <w:rPr>
          <w:b/>
        </w:rPr>
        <w:t>E. 2.1.2</w:t>
      </w:r>
    </w:p>
    <w:p>
      <w:r>
        <w:t>Conformément à l'art. 310 al. 1 let. a CPP, le Ministère public rend immédiatement – c'est-à-dire sans qu'une instruction soit ouverte (art. 309 al. 1 et 4 CPP ; ATF 144 IV 86 consid. 2.3.3 ; Grodecki/Cornu, in : Jeanneret/Kuhn/Perrier Depeursinge [éd.], op. cit.,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w:t>
      </w:r>
    </w:p>
    <w:p>
      <w:r>
        <w:rPr>
          <w:b/>
        </w:rPr>
        <w:t>E. 2.1.3</w:t>
      </w:r>
    </w:p>
    <w:p>
      <w:r>
        <w:t>Aux termes de l'art. 30 al. 1 CP (Code pénal suisse du 21 décembre 1937 ; RS 311.0), si une infraction n'est punie que sur plainte, toute personne lésée peut porter plainte contre l'auteur. Selon l'art. 31 CP, le droit de porter plainte se prescrit par trois mois. Le délai court du jour où l'ayant droit a eu connaissance de l'infraction (sur le calcul du délai : cf. ATF 144 IV 161 consid. 2). Le point de départ du délai est la connaissance de l'auteur et bien entendu également de l'infraction, ce qui, selon la jurisprudence, implique de savoir de manière sûre et fiable que ses éléments constitutifs objectifs et subjectifs sont donnés (ATF 142 IV 129 consid. 4.3 ; ATF 132 IV 49 consid. 3.2 ; ATF 126 IV 131 consid. 2a ; TF 6B_1113/2014 du 28 octobre 2015 ; TF 6B_145/2010 du 11 mai 2010 consid. 1.3).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 Petit commentaire du Code pénal, 2e éd. 2017, n. 4 ad. art. 31 CP). Ce délai impératif de trois mois concerne uniquement les infractions poursuivies sur plainte. Le délai institué par l'art. 31 CP étant un délai de péremption, il ne peut être ni interrompu, ni prolongé (ATF 118 IV 325 consid. 2b).</w:t>
      </w:r>
    </w:p>
    <w:p>
      <w:r>
        <w:rPr>
          <w:b/>
        </w:rPr>
        <w:t>E. 2.1.4</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JdT 2003 IV 117) ; l'abus est également réalisé lorsque l'auteur poursuit un but légitime mais recourt, pour l'atteindre, à des moyens disproportionnés (ATF 127 IV 209 consid. 1a/aa et b et les références citées ; TF 6B_1222/2020 du 27 avril 2021 consid. 1.1 et les références citées). Seuls des cas importants de manquement à un devoir de fonction doivent être sanctionnés par l’infraction d’abus d’autorité, les infractions de moindre gravité devant être sanctionnées par la voie disciplinaire (Dupuis et al. [éd.], Petit commentaire, Code pénal, 2 e éd., Bâle 2017, n. 19 ad art. 312 CP).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Il faut admettre que l'auteur nuit à autrui dès qu'il utilise des moyens excessifs, même s'il poursuit un but légitime. Le motif pour lequel l'auteur agit est ainsi sans pertinence sur l'intention, mais a trait à l'examen de la culpabilité (TF 6B_1222/2020 précité et les références citées).</w:t>
      </w:r>
    </w:p>
    <w:p>
      <w:r>
        <w:rPr>
          <w:b/>
        </w:rPr>
        <w:t>E. 2.1.5</w:t>
      </w:r>
    </w:p>
    <w:p>
      <w:r>
        <w:t>Aux termes de l’art. 305 al. 1 CP, celui qui aura soustrait une personne à une poursuite pénale ou à l’exécution d’une peine ou d’une des mesures prévues aux art. 59 à 61, 63 et 64 sera puni d’une peine privative de liberté de trois ans au plus ou d’une peine pécuniaire. Le bien juridique protégé par cette disposition est le bon fonctionnement de la justice, soit un intérêt collectif (ATF 141 IV 459 consid. 4.2 et réf. cit.). L'auteur d'entrave à l'action pénale doit avoir agi intentionnellement mais le dol éventuel suffit. En outre, sa conscience et sa volonté doivent porter sur tous les éléments constitutifs objectifs de l'infraction (Dupuis et al., op. cit., n. 27 ad art. 305 CP).</w:t>
      </w:r>
    </w:p>
    <w:p>
      <w:r>
        <w:rPr>
          <w:b/>
        </w:rPr>
        <w:t>E. 2.1.6</w:t>
      </w:r>
    </w:p>
    <w:p>
      <w:r>
        <w:t>Aux termes de l’art. 173 ch. 1 CP, celui qui, en s'adressant à un tiers, aura accusé une personne ou jeté sur elle le soupçon de tenir une conduite contraire à l'honneur, ou de tout autre fait propre à porter atteinte à sa considération, ou celui qui aura propagé une telle accusation ou un tel soupçon, sera, sur plainte, puni d’une peine pécuniaire.</w:t>
      </w:r>
    </w:p>
    <w:p>
      <w:r>
        <w:rPr>
          <w:b/>
        </w:rPr>
        <w:t>E. 2.2</w:t>
      </w:r>
    </w:p>
    <w:p>
      <w:r>
        <w:t>Le recourant émet tout d’abord une série de reproches peu compréhensibles à l’encontre des policiers V.________, N.________ et X.________ qu’il rend responsables d’abus d’autorité. On ne discerne toutefois pas en quoi les faits relatés seraient constitutifs de l’infraction d’abus d’autorité, faute d’un quelconque abus de pouvoir rendu non seulement vraisemblable mais simplement plausible. Le recourant se contente de reformuler les griefs contenus dans sa plainte et d’épiloguer sur le fait que des policiers en civil se seraient trouvés aux mêmes endroits que lui et l’auraient dérangé par leur présence, mais il ne développe aucune argumentation qui permettrait de retenir que les éléments constitutifs de cette infraction seraient réalisés ou de se convaincre que ces policiers auraient commis une quelconque infraction à son encontre. Aussi, en l’absence du moindre indice de la commission d’une infraction, il ne se justifiait pas de procéder à l’audition des agents mis en cause et du plaignant. De toute manière, il ne suffit pas d’alléguer être victime d’infractions pour justifier l’ouverture d’une enquête. Il faut encore, d’une manière ou d’une autre, rendre plausible la commission des infractions dénoncées au moyen d’indices importants et concrets. Ce moyen, mal fondé, doit être rejeté. Le recourant considère ensuite que, par l’envoi de son courriel le 28 août 2019 à toutes les polices cantonales suisses, B.________ a commis les infractions d’abus d’autorité, d’entrave à l’action pénale et de diffamation. A la lecture de la plainte, on comprend bien que le recourant a été contrarié par l’envoi du courriel litigieux. Or, dans son récit, le recourant n’expose pas le moindre motif factuel ou juridique permettant de se convaincre que cet agent aurait commis les infractions reprochées. On ne discerne aucun abus de pouvoir, ni même un simple manquement aux devoirs de fonction. On ne voit pas non plus en quoi l’envoi du courriel litigieux serait constitutif d’une entrave à l’action pénale. Quant à l’infraction de diffamation, elle ne se poursuit que sur plainte (art. 173 ch. 1 CP). Le recourant ayant indiqué, dans sa plainte, avoir eu connais­sance du courriel litigieux en avril 2021, le délai de trois mois pour déposer plainte était largement échu lors du dépôt de sa plainte le 5 mars 2022. Partant, il existe un empêchement de procéder au sens de l’art. 310 al. 1 let. b CPP. C’est donc à juste titre que le Ministère public a constaté que la plainte de J.________ était tardive s’agissant d’une éventuelle diffamation et qu’il n’est pas entré en matière sur cette infraction. De toute manière, le recourant ne développe aucun argument sur ce point, de sorte que la recevabilité du recours est, à cet égard, douteuse (cf. art. 385 al. 1 CPP). En définitive, le recourant ne rend pas vraisemblable, ni même seule­ment plausible, la commission d’une quelconque infraction pénale en lien avec les faits dénoncés et ne fournit absolument aucun début d’indice concret dans ce sens, de sorte que ses moyens doivent être rejetés dans la mesure de leur recevabilité. C’est donc à juste titre que le Ministère public n’est pas entré en matière sur la plainte de J.________, les conditions de l’art. 310 al. 1 let. a et let. b CPP étant réalisées. 3. Il résulte de ce qui précède que le recours interjeté par J.________, manifestement mal fondé, doit être rejeté, dans la mesure de sa recevabilité, sans échange d’écritures (art. 390 al. 2 CPP) et l’ordonnance entreprise confirmée. Les frais de la procédure de recours, constitués en l’espèce du seul émolument d’arrêt (art. 422 al. 1 CPP), par 1'100 fr. (art. 20 al. 1 TFIP [Tarif des frais de procédure et indemnités en matière pénale du 28 septembre 2010 ; BLV 312.03.1]), seront mis à la charge du recourant, qui succombe (art. 428 al. 1, 1 re phr., CPP). Ces frais seront compensés à due concurrence avec le montant des sûretés de 550 fr. déjà versé par le recourant, le solde de 550 fr. restant à sa charge (art.</w:t>
      </w:r>
    </w:p>
    <w:p>
      <w:r>
        <w:rPr>
          <w:b/>
        </w:rPr>
        <w:t>E. 6</w:t>
      </w:r>
    </w:p>
    <w:p>
      <w:r>
        <w:t>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précité consid. 4.1.2 ; ATF 137 IV 285 consid. 2.3 et réf. cit., JdT 2012 IV 160). Les indices relatifs à la commission d'une infraction impliquant l'ouverture d'une instruction doivent toutefois être importants et de nature concrète. De simples rumeurs ou de simples suppositions ne suffisent pas ; le soupçon initial doit au contraire reposer sur une base factuelle plausible, laissant apparaître la possibilité concrète qu'une infraction ait été commise (ATF 141 IV 87 consid. 1.3.1 ; TF 6B_488/2021 du 22 décembre 2021 consid. 5.3 et réf. cit.). Le Ministère public peut également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du Code de procédure pénale, 2 e éd., Bâle 2016, n. 13 ad art. 310 CPP), doit être assimilée à un empêchement de procéder au sens de l’art. 310 al. 1 let. b CPP, du moins lorsqu’aucune infraction poursuivie d’office n’est en cause (CREP 2 février 2022/86 consid. 2.1.1 ; CREP 22 octobre 2021/976 consid. 2.1.1).</w:t>
      </w:r>
    </w:p>
    <w:p>
      <w:r>
        <w:rPr>
          <w:b/>
        </w:rPr>
        <w:t>E. 7</w:t>
      </w:r>
    </w:p>
    <w:p>
      <w:r>
        <w:t>TFIP). Par ces motifs, la Chambre des recours pénale prononce : I. Le recours est rejeté dans la mesure où il est recevable. II. L’ordonnance du 22 juin 2022 est confirmée. III. Les frais d’arrêt, par 1'100 fr. (mille cent francs), sont mis à la charge de J.________. IV. L’avance de frais de 550 fr. (cinq cent cinquante francs) versée par J.________ est imputée sur les frais mis à sa charge au chiffre III ci-dessus, le solde dû s’élevant à 550 fr. (cinq cent cinquante francs). V. L’arrêt est exécutoire. La présidente :               La greffière : Du Le présent arrêt, dont la rédaction a été approuvée à huis clos, est notifié, par l'envoi d'une copie complète, à : - M. J.________, - M. le Procureur général du canton de Vaud, et communiqué à : ‑ Me Laurent Schuler, avocat,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