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773 vom 7. Dezember 2022</w:t>
      </w:r>
    </w:p>
    <w:p>
      <w:r>
        <w:t>VD Tribunal cantonal, 2022-12-07, FR</w:t>
      </w:r>
    </w:p>
    <w:p>
      <w:r>
        <w:rPr>
          <w:b/>
        </w:rPr>
        <w:t xml:space="preserve">Quelle: </w:t>
      </w:r>
      <w:r>
        <w:t>https://mcp.opencaselaw.ch/entscheid/vd_findinfo_D_cision___2022___773</w:t>
      </w:r>
    </w:p>
    <w:p>
      <w:r>
        <w:t>FR: VD_FINDINFO Décision / 2022 / 773 du 7 décembre 2022</w:t>
      </w:r>
    </w:p>
    <w:p>
      <w:r>
        <w:t>IT: VD_FINDINFO Décision / 2022 / 773 del 7 dicembre 2022</w:t>
      </w:r>
    </w:p>
    <w:p>
      <w:pPr>
        <w:pStyle w:val="Heading2"/>
      </w:pPr>
      <w:r>
        <w:t>Regeste</w:t>
      </w:r>
    </w:p>
    <w:p>
      <w:r>
        <w:t>ADMISSION DE LA DEMANDE, CLASSEMENT DE LA PROCÉDURE, ORDONNANCE DE CLASSEMENT, CONDUITE DU PROCÈS, ENQUÊTE PÉNALE | 146 CP, 181 CP, 251 CP,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les parties plaignantes, qui ont la qualité pour recourir (art. 382 al. 1 CPP). Au surplus, le recours satisfait aux conditions de forme prescrites (art. 385 al. 1 CPP). Il est donc recevable. Les réponses déposées par le Ministère public et les intimés sont également recevables. Il en va de même des écritures subséquentes.</w:t>
      </w:r>
    </w:p>
    <w:p>
      <w:r>
        <w:rPr>
          <w:b/>
        </w:rPr>
        <w:t>E. 2.1</w:t>
      </w:r>
    </w:p>
    <w:p>
      <w:r>
        <w:t>Les recourants reprochent au Ministère public d’avoir écarté, sans motif valable, leur réquisition de preuve tendant à l’audition de X.________ et de Q.________. Ils estiment que cette mesure serait indispensable dès lors que ces derniers auraient été victimes de la même escroquerie qu’eux et que leur audition permettrait ainsi d’étayer leur version. En outre, invoquant une violation du principe in dubio pro duriore , ils soutiennent que, en présence de versions contradictoires, le Ministère public aurait dû mettre les prévenus en accusation. Dans leur réponse du 24 novembre 2022, les prévenus font valoir que, lors de la démonstration du 3 octobre 2019, seuls les recourants étaient présents et qu’ainsi aucun témoin n’a assisté aux discussions entre parties. Ils ajoutent qu’aucune mesure d’instruction n’est envisageable ; en particulier, ils font valoir que les personnes dont l’audition a été requise n’ont pas déposé de plainte pénale à leur encontre et s’acquittent des mensualités convenues ; ils produisent à cet effet une série de pièces.</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w:t>
      </w:r>
    </w:p>
    <w:p>
      <w:r>
        <w:rPr>
          <w:b/>
        </w:rPr>
        <w:t>E. 2.2.2</w:t>
      </w:r>
    </w:p>
    <w:p>
      <w:r>
        <w:t>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5 avril 2022/208 consid. 3.1.1 et les réf. citées ; CREP 5 mars 2021/234 consid. 2.2).</w:t>
      </w:r>
    </w:p>
    <w:p>
      <w:r>
        <w:rPr>
          <w:b/>
        </w:rPr>
        <w:t>E. 2.2.3</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précité consid. 2.2.2 et les arrêts cités ; TF 6B_1164/2020 du 10 juin 2021 consid. 2.2. et les références citées).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précité consid. 2.2 ; TF 6B_1239/2018 du 11 mars 2019 consid. 3.2.1 et les arrêts cités).</w:t>
      </w:r>
    </w:p>
    <w:p>
      <w:r>
        <w:rPr>
          <w:b/>
        </w:rPr>
        <w:t>E. 2.3.1</w:t>
      </w:r>
    </w:p>
    <w:p>
      <w:r>
        <w:t>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précité consid. 1.4 ; ATF 142 IV 153 précité consid. 2.2.2 ; ATF 135 IV 76 précité consid. 5.2).</w:t>
      </w:r>
    </w:p>
    <w:p>
      <w:r>
        <w:rPr>
          <w:b/>
        </w:rPr>
        <w:t>E. 2.3.2</w:t>
      </w:r>
    </w:p>
    <w:p>
      <w:r>
        <w:t>Se rend coupable de contrainte au sens de l’art. 181 CP et est punissable d’une peine privative de liberté de trois ans au plus ou d’une peine pécuniaire,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(TF 6B_415/2018 du 20 septembre 2018 consid. 2.1.2 ; ATF 101 IV 42 consid. 3a), la menace est un moyen de pression psychologique consistant à annoncer un dommage futur dont la réalisation est présentée comme dépendante de la volonté de l’auteur, sans toutefois qu’il soit nécessaire que cette dépendance soit effective (TF 6B_415/2018 précité consid. 2.1.2 ; ATF 117 IV 445 consid. 2b ; ATF 106 IV 125 consid. 2a) ni que l’auteur ait réellement la volonté de réaliser sa menace (TF 6B_415/2018 précité consid. 2.1.2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6B_415/2018 précité consid. 2.1.2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 ATF 141 IV 437 consid. 3.2.1 ; ATF 137 IV 326 consid. 3.3.1). Selon la jurisprudence, la contrainte n’est contraire au droit que si elle est illicite (ATF 120 IV 17 précité consid. 2a et les arrêts cités ; TF 6B_415/2018 précité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consid. 3.2.1 ; ATF 137 IV 326 précité consid. 3.3.1 ; ATF 120 IV 17 précité consid. 2a/bb ; TF 6B_415/2018 précité consid. 2.1.3). Ainsi, menacer d’une plainte pénale pour une infraction que rien ne permet sérieusement de soupçonner est un moyen en soi inadmissible (ATF 120 IV 17 précité consid. 2a/bb ; TF 6B_415/2018 précité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précité consid. 2.1.3 et les arrêts cités).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(ATF 142 IV 315 ; TF 6B_153/2017 précité consid. 3.1 et les arrêts cités). Certes, faire notifier un commandement de payer lorsque l’on est fondé à réclamer une somme est licite ; en revanche, utiliser un tel procédé comme moyen de pression est clairement abusif, donc illicite (ATF 115 III 18 consid. 3, 81 consid. 3b ; TF 6B_1100/2018 du 17 décembre 2018 consid. 3.3 et les références). Sur le plan subjectif, il faut que l’auteur ait agi intentionnellement, c’est-à-dire qu’il ait voulu contraindre la victime à adopter le comportement visé en étant conscient de l’illicéité de son comportement ; le dol éventuel suffit (ATF 120 IV 17 précité consid. 2c ; TF 6B_1037/2019 du 24 juin 2020 consid. 2.3.3 ; TF 6B_415/2018 précité consid. 2.1.3).</w:t>
      </w:r>
    </w:p>
    <w:p>
      <w:r>
        <w:rPr>
          <w:b/>
        </w:rPr>
        <w:t>E. 2.3.3</w:t>
      </w:r>
    </w:p>
    <w:p>
      <w:r>
        <w:t>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(al. 1), ou aura, pour tromper autrui, fait usage d’un tel titre (al. 2). La notion de titre est définie par l’art. 110 al. 4 CP. Selon cette disposition, sont des titres tous les écrits destinés et propres à prouver un fait ayant une portée juridique et tous les signes destinés à prouver un tel fait.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p. 67). 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 ATF 132 IV 12 consid. 8.1 ; ATF 129 IV 130 consid. 2.1 ; ATF 126 IV 65 précité consid. 2a ; TF 6B_891/2018 du 31 octobre 2018 consid. 3.3.1). L’art. 251 ch. 1 al. 1 CP réprime également celui qui « fait constater faussement, dans un titre, un fait ayant une portée juridique ». On s’accorde à dire que cette formule vise le cas de l’auteur médiat commettant un faux intellectuel. Cette mention est en soi inutile ; elle a cependant le mérite d’attirer l’attention sur le fait que l’auteur de l’infraction n’est pas nécessairement celui qui rédige l’écrit, qui appose le signe ou introduit la donnée. Il ne suffit pas, pour conclure que l’accusé n’a pas commis l’infraction prévue par l’art. 251 ch. 1 al. 1 CP, de constater qu’il n’a pas lui-même accompli l’un de ces actes. Si une personne en manipule une autre en l’amenant, dans l’ignorance de la situation réelle, à réaliser objectivement un acte de faux, la première doit être considérée comme auteur médiat de l’infraction (Corboz, Les infractions en droit suisse, vol. II, 3 e éd., Berne 2010, n. 81 à 88 ad art. 251 CP).</w:t>
      </w:r>
    </w:p>
    <w:p>
      <w:r>
        <w:rPr>
          <w:b/>
        </w:rPr>
        <w:t>E. 2.4</w:t>
      </w:r>
    </w:p>
    <w:p>
      <w:r>
        <w:t>En l’espèce, le procureur a considéré que le comportement des prévenus ne revêtait pas un caractère pénal, que ce soit sous l’angle des infractions de faux dans les titres, d’escroquerie ou de contrainte, et ce, malgré avoir constaté de la part des prévenus l’existence de « potentielles méthodes de vente contestables ». Il a ainsi rejeté la mesure d’instruction tendant à l’audition de X.________ et de Q.________ au motif que celle-ci ne serait pas susceptible de contribuer à la manifestation de la vérité au-delà de ce que les investigations avaient d’ores et déjà démontré. Ce raisonnement ne saurait être suivi. En effet, les faits tels qu’allégués par les recourants, soit notamment que les prévenus auraient conservé le document litigieux et l’auraient modifié par la suite en ajoutant un délai d’annulation de la commande de quatorze jours, alors qu’ils se seraient mis d’accord oralement sur un délai d’une année, pourraient être constitutifs de faux dans les titres et d’escroquerie. En outre, si tel que le soutiennent les recourants les prévenus auraient tenté de faire abusivement pression sur eux en leur faisant notifier des commandements de payer afin d’obtenir le paiement de la somme qui serait indue, l’infraction de contrainte pourrait également être réalisée, à tout le moins au stade de la tentative. Toutefois, force est de constater qu’en l’occurrence la version des plaignants s’oppose à celle des prévenus, sans que l’on puisse déterminer laquelle est la plus plausible. Dans ces circonstances, la jurisprudence exige plutôt que les prévenus soient mis en accusation. Par ailleurs, et contrairement à ce que soutient le procureur, l’audition de X.________ et Q.________, qui selon les recourants auraient été victimes des mêmes agissements de la part des prévenus, se justifie, dès lors qu’elle permettrait d’accréditer leur version et, partant, de rendre celle-ci plus plausible que celle des prévenus. Le fait que ces autres clients – ou en tout cas Q.________ selon les relevés produits avec la réponse – paraissent s’acquitter d’un montant mensuel de 150 fr. n’est pas suffisamment probant, les pièces en question ne permettant pas de déterminer le destinataire ou les motifs de ce paiement. Par conséquent, en l’état du dossier, le Ministère public ne pouvait pas rendre une ordonnance de classement. Il convient ainsi d’inviter ce dernier à procéder à la mesure d’instruction requise, qui parait pertinente, à savoir à l’audition de X.________ et de Q.________.</w:t>
      </w:r>
    </w:p>
    <w:p>
      <w:r>
        <w:rPr>
          <w:b/>
        </w:rPr>
        <w:t>E. 3</w:t>
      </w:r>
    </w:p>
    <w:p>
      <w:r>
        <w:t>En définitive, le recours doit être admis, l’ordonnance entreprise annulée et le dossier de la cause renvoyé au Ministère public de l’arrondissement du Nord vaudois pour qu’il procède dans le sens des considérants. Les recourants, qui ont procédé avec l’assistance d’un conseil de choix et qui ont obtenu gain de cause, ont droit, à la charge de l’Etat, à une indemnité pour les dépenses occasionnées par la procédure de recours (art. 433 CPP, applicable par analogie à la procédure de recours par renvoi de l’art. 436 al. 1 CPP ; cf. not. TF 6B_380/2021 du 21 juin 2022 consid. 2.4.1 ; TF 6B_2/2021 du 25 juin 2021 consid. 1.1 in initio ; TF 6B_1324/2015 du 23 novembre 2016 consid. 2.2). Cette indemnité sera fixée à 900 fr., correspondant à trois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18 fr., plus la TVA au taux de 7,7% sur le tout, par 70 fr. 70, ce qui revient à 989 fr. en chiffres arrondis. Vu l’admission du recours, les frais de la procédure, constitués en l’espèce du seul émolument d’arrêt, par 1’430 fr. (art. 20 al. 1 TFIP), seront laissés à la charge de l’Etat (art. 428 al. 4 CPP). Par ces motifs, la Chambre des recours pénale prononce : I. Le recours est admis. II. L’ordonnance de classement du 16 août 2022 est annulée. III. Le dossier de la cause est renvoyé au Ministère public de l’arrondissement du Nord vaudois pour qu’il procède dans le sens des considérants. IV. Une indemnité de 989 fr. (neuf cent huitante-neuf francs) est allouée à C.________ et D.________ pour leurs dépenses occasionnées par la procédure de recours, à la charge de l’Etat. V. Les frais d’arrêt, par 1’430 fr. (mille quatre cent trente francs), sont laissés à la charge de l’Etat. VI. L’arrêt est exécutoire. La présidente :               La greffière : Du Le présent arrêt, dont la rédaction a été approuvée à huis clos, est notifié, par l’envoi d’une copie complète, à : - Me Charles Munoz, avocat (pour C.________ et D.________) - Me Aurore Gaberell, avocate (pour B.I.________ et A.I.________),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