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747 vom 15. September 2022</w:t>
      </w:r>
    </w:p>
    <w:p>
      <w:r>
        <w:t>VD Tribunal cantonal, 2022-09-15, FR</w:t>
      </w:r>
    </w:p>
    <w:p>
      <w:r>
        <w:rPr>
          <w:b/>
        </w:rPr>
        <w:t xml:space="preserve">Quelle: </w:t>
      </w:r>
      <w:r>
        <w:t>https://mcp.opencaselaw.ch/entscheid/vd_findinfo_D_cision___2022___747</w:t>
      </w:r>
    </w:p>
    <w:p>
      <w:r>
        <w:t>FR: VD_FINDINFO Décision / 2022 / 747 du 15 septembre 2022</w:t>
      </w:r>
    </w:p>
    <w:p>
      <w:r>
        <w:t>IT: VD_FINDINFO Décision / 2022 / 747 del 15 settembre 2022</w:t>
      </w:r>
    </w:p>
    <w:p>
      <w:pPr>
        <w:pStyle w:val="Heading2"/>
      </w:pPr>
      <w:r>
        <w:t>Regeste</w:t>
      </w:r>
    </w:p>
    <w:p>
      <w:r>
        <w:t>EXPERTISE PSYCHIATRIQUE, DOUTE, MOTIVATION DE LA DÉCISION, MANDAT, DROIT D'ÊTRE ENTENDU, ADMISSION DE LA DEMANDE | 20 CP, 29 al. 2 Cst., 184 CPP (CH)</w:t>
      </w:r>
    </w:p>
    <w:p>
      <w:pPr>
        <w:pStyle w:val="Heading2"/>
      </w:pPr>
      <w:r>
        <w:t>Erwägungen</w:t>
      </w:r>
    </w:p>
    <w:p>
      <w:r>
        <w:rPr>
          <w:b/>
        </w:rPr>
        <w:t>E. 1.1</w:t>
      </w:r>
    </w:p>
    <w:p>
      <w:r>
        <w:t>Aux termes de l’art. 393 al. 1 let. a CPP, le recours est recevable contre les décisions et les actes de procédure du Ministère public. En particulier, une décision par laquelle le Ministère public ordonne une expertise psychiatrique (cf. art. 189 CPP) est susceptible de porter atteinte à la sphère privée et à la personnalité du prévenu, de sorte que celui-ci dispose d’un intérêt juridiquement protégé – à savoir immédiat et actuel – au sens de l’art. 382 al. 1 CPP à en demander la modification ou l’annulation (TF 1B_245/2021 du 2 août 2021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le prévenu qui a la qualité pour recourir, et satisfaisant aux conditions de forme prescrites (art. 385 al. 1 CPP), le recours est recevable.</w:t>
      </w:r>
    </w:p>
    <w:p>
      <w:r>
        <w:rPr>
          <w:b/>
        </w:rPr>
        <w:t>E. 2.1</w:t>
      </w:r>
    </w:p>
    <w:p>
      <w:r>
        <w:t>Le recourant, qui ne conteste plus la désignation du professeur W.________, s’oppose à la mise en œuvre d’une expertise psychiatrique à son encontre. Invoquant une violation de son droit d’être entendu, il fait valoir que le mandat d’expertise serait insuffisamment motivé, dès lors qu’il se contenterait de renvoyer à l’art. 19 CP, disposition au demeurant erronée. Il relève en particulier que le mandat attaqué ne mentionnerait pas quelles seraient les raisons sérieuses propres à faire douter de ses capacités psychiques, et soutient que ce vice ne pourrait pas être réparé en procédure de recours, dès lors qu’il devrait pouvoir bénéficier de la garantie de la double instance. En tout état de cause, il fait valoir qu’il n’existerait aucun indice sérieux propre à faire douter de sa pleine et entière responsabilité au moment des faits, précisant qu’il ne figurerait au dossier aucun certificat médical attestant de troubles psychiques, aucun élément faisant suspecter des problèmes d’addiction aux stupéfiants ou à l’alcool, ni aucune information selon laquelle il aurait fait l’objet d’une mesure de curatelle, et soutient qu’aucune autre partie à la procédure n’aurait livré le moindre début d’élément permettant de douter de sa responsabilité pénale et que rien dans son discours ou dans son attitude au cours de la procédure ne permettrait de nourrir des doutes quant à une éventuelle pathologie psychiatrique.</w:t>
      </w:r>
    </w:p>
    <w:p>
      <w:r>
        <w:rPr>
          <w:b/>
        </w:rPr>
        <w:t>E. 2.2</w:t>
      </w:r>
    </w:p>
    <w:p>
      <w:r>
        <w:t>;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TF 6B_1239/2020 du 2 décembre 2020 consid. 6 et les références citées ; CREP 13 septembre 2022/681 ; CREP 10 février 2022/110).</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w:t>
      </w:r>
    </w:p>
    <w:p>
      <w:r>
        <w:rPr>
          <w:b/>
        </w:rPr>
        <w:t>E. 2.2.2</w:t>
      </w:r>
    </w:p>
    <w:p>
      <w:r>
        <w:t>En vertu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1B_245/2021 du 2 août 2021 consid. 3.1 ; TF 6B_892/2020 du 16 février 2021 consid. 3.3.1). La « ratio legis »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précité ; ATF 116 IV 273 consid. 4a ; TF 1B_245/2021 précité ; TF 1B_213/2020 du 4 août 2020 consid. 3.1).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précité ; ATF 116 IV 273 précité ; TF 1B_213/2020 précité et les arrêts cités). Il s'agit largement d'une question d'appréciation (ATF 102 IV 225 consid. 7b ; TF 1B_213/2020 précité ; TF 6B_644/2009 du 23 novembre 2009 consid. 1.2). Estimer qu'il y a matière à doute quant à la responsabilité chaque fois qu'il est possible, voire vraisemblable, que les actes ont aussi une origine psychique serait excessif (TF 1B_213/2020 précité ; TF 6P.41/2007 du 20 avril 2007 consid. 7.1 ; TF 6S.284/2005 du 9 septembre 2005 consid. 2.3).</w:t>
      </w:r>
    </w:p>
    <w:p>
      <w:r>
        <w:rPr>
          <w:b/>
        </w:rPr>
        <w:t>E. 2.3</w:t>
      </w:r>
    </w:p>
    <w:p>
      <w:r>
        <w:t>En l’espèce, il faut admettre, avec le recourant, que le mandat d’expertise contesté n’est aucunement motivé sur le principe même de la nécessité de la mise en œuvre d’une expertise psychiatrique, si ce n’est par la mention qu’il y aurait un doute sur la responsabilité pénale d’A.________, ce qui n’est pas suffisant (cf. CREP 29 juin 2022/474 consid. 2.3). En outre, quand bien même le prévenu s’est opposé, par courriers des 2 juin et 9 août 2022, à la mise en œuvre d’une expertise psychiatrique à son encontre et a reproché au Ministère public de n’avoir fourni aucune explication quant aux motifs justifiant une telle mesure, la procureure s’est contentée, dans sa lettre du 12 août 2022, d’inviter le prévenu – de manière erronée – à se référer à l’art. 19 CP s’agissant des motifs de la mise en œuvre de l’expertise psychiatrique. Interpellé à la suite du recours déposé par A.________ contre le mandat litigieux notamment pour violation de son droit d’être entendu, le Ministère public a de surcroît renoncé à se déterminer, n’exposant pas, même de manière succincte, les raisons sérieuses qui feraient douter de la responsabilité pleine et entière du prévenu. Or, une motivation – même succincte – était d’autant plus indispensable dans le cas d’espèce qu’il ne ressort pas de manière évidente du dossier que les conditions de l’art. 20 CP et de la jurisprudence y relative seraient remplies. Ainsi, quand bien même le recourant a été en mesure de contester le mandat d’expertise litigieux, il n’a pas pu critiquer le raisonnement de la procureure, faute d’en avoir eu connaissance. La motivation du mandat d’expertise attaqué est donc insuffisante et prive l’autorité de recours de la possibilité d’exercer correctement son contrôle. Même si la Chambre des recours pénale dispose d’un plein pouvoir d’examen, il ne lui appartient pas de réparer la présente violation du droit d’être entendu et le recourant doit pouvoir bénéficier de la garantie de la double instance. Pour ce motif, l’ordonnance attaquée doit être annulée sans qu’il y ait lieu d’examiner plus avant les arguments tendant à sa réforme.</w:t>
      </w:r>
    </w:p>
    <w:p>
      <w:r>
        <w:rPr>
          <w:b/>
        </w:rPr>
        <w:t>E. 3</w:t>
      </w:r>
    </w:p>
    <w:p>
      <w:r>
        <w:t>Au vu de ce qui précède, le recours doit être admis, le mandat d’expertise du 12 août 2022 annulé et le dossier de la cause renvoyé au Ministère public pour qu’il procède dans le sens des considérants. Me Jean-Marc Courvoisier a produit une liste d’opérations faisant état de 5 h 10 consacrées à la procédure de recours. Il n’y a pas lieu de s’écarter de la durée alléguée, si ce n’est pour retrancher 15 minutes pour la constitution d’un bordereau de pièces, s’agissant d’un travail de secrétariat qui ne saurait être indemnisé au tarif horaire de l’activité d’avocat. En définitive, il convient donc de retenir une activité d’avocat de 4 h 55 au tarif horaire de 180 fr., de sorte que l’indemnité d’office doit être fixée à 885 fr., montant auquel s’ajoutent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17 fr. 70, et la TVA au taux de 7,7 %, par 69 fr. 50, soit à 973 fr. au total en chiffres arrondis. Vu l’admission du recours, les frais de la procédure, constitués de l’émolument d’arrêt, par 990 fr. (art. 20 al. 1 TFIP), ainsi que l’indemnité allouée au défenseur d’office du recourant, fixée à 973 fr., seront laissés à la charge de l’Etat (art. 428 al. 4 CPP). Par ces motifs, la Chambre des recours pénale prononce : I. Le recours est admis. II. Le mandat d’expertise du 12 août 2022 est annulé. III. Le dossier de la cause est renvoyé au Ministère public de l’arrondissement de Lausanne pour qu’il procède dans le sens des considérants. IV. L’indemnité allouée au défenseur d’office d’A.________ est fixée à 973 fr. (neuf cent septante-trois francs), débours et TVA compris. V. Les frais d’arrêt, par 990 fr. (neuf cent nonante francs), ainsi que l’indemnité due au défenseur d’office du recourant, par 973 fr. (neuf cent septante-trois francs), sont laissés à la charge de l’Etat. VI. L’arrêt est exécutoire. La présidente :               La greffière : Du Le présent arrêt, dont la rédaction a été approuvée à huis clos, est notifié, par l'envoi d'une copie complète, à : - Me Jean-Marc Courvoisier, avocat (pour A.________), - Ministère public central, et communiqué à : ‑ Mme la Procureure de l’arrondissement de Lausanne, - M. le Professeur W.________, - Me Nicolas Perret, avocat (pour Y.________), - Me Nadia Calabria, avocate (pour B.P.________ et C.P.________), - Me David Moinat, avocat (pour E.________), - Me Skander Agrebi, avocat (pour D.P.________ et G.P.________), - Me Romain Kramer, avocat (pour Z.________), - Me Alexandre Saillet, avocat (pour R.________), - Me Zakia Arnouni, avocate (pour F.________), - Me Milena Chiari, avocate (pour J.________), - Me Kathrin Gruber, avocate (pour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