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72 vom 27. Januar 2022</w:t>
      </w:r>
    </w:p>
    <w:p>
      <w:r>
        <w:t>VD Tribunal cantonal, 2022-01-27, FR</w:t>
      </w:r>
    </w:p>
    <w:p>
      <w:r>
        <w:rPr>
          <w:b/>
        </w:rPr>
        <w:t xml:space="preserve">Quelle: </w:t>
      </w:r>
      <w:r>
        <w:t>https://mcp.opencaselaw.ch/entscheid/vd_findinfo_D_cision___2022___72</w:t>
      </w:r>
    </w:p>
    <w:p>
      <w:r>
        <w:t>FR: VD_FINDINFO Décision / 2022 / 72 du 27 janvier 2022</w:t>
      </w:r>
    </w:p>
    <w:p>
      <w:r>
        <w:t>IT: VD_FINDINFO Décision / 2022 / 72 del 27 gennaio 2022</w:t>
      </w:r>
    </w:p>
    <w:p>
      <w:pPr>
        <w:pStyle w:val="Heading2"/>
      </w:pPr>
      <w:r>
        <w:t>Regeste</w:t>
      </w:r>
    </w:p>
    <w:p>
      <w:r>
        <w:t>DROIT D'ÊTRE ENTENDU, DÉCISION D'IRRECEVABILITÉ, ADMISSION DE LA DEMANDE | 29 Cst.,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et dans les formes prescrites (art. 385 al. 1 CPP) auprès de l’autorité compétente, par la partie plaignante qui a qualité pour recourir (art. 382 al. 1 CPP), le recours de W.________ est recevable.</w:t>
      </w:r>
    </w:p>
    <w:p>
      <w:r>
        <w:rPr>
          <w:b/>
        </w:rPr>
        <w:t>E. 2.1</w:t>
      </w:r>
    </w:p>
    <w:p>
      <w:r>
        <w:t>Dans un grief formel qu’il convient d’examiner en premier, le recourant invoque une violation de son droit d’être entendu, reprochant au Ministère public d’avoir rendu l’ordonnance litigieuse sans lui avoir donné la possibilité de prendre connaissance des déterminations de la partie intimée, ni lui laisser l’opportunité de s’exprimer à ce sujet.</w:t>
      </w:r>
    </w:p>
    <w:p>
      <w:r>
        <w:rPr>
          <w:b/>
        </w:rPr>
        <w:t>E. 2.1.1</w:t>
      </w:r>
    </w:p>
    <w:p>
      <w:r>
        <w:t>Le droit d'être entendu garanti par l’art. 29 al. 2 Cst. (Constitution fédérale de la Confédération suisse du 18 avril 1999; RS 101)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145 I 73 consid. 7.2.2.1 et les réf. cit. ; TF 1B_561/2011 du 30 janvier 2012 c. 2.1 et les réf. cit.). Le droit d'être entendu est une garantie constitutionnelle de caractère formel, dont la violation entraîne en principe l'annulation de la décision, indépendamment des chances de succès du recours sur le fond (ATF 142 II 218 consid. 2.8.1; ATF 135 I 187 consid. 2.2). Selon la jurisprudence, sa violation peut cependant être réparée lorsque la partie lésée a la possibilité de s'exprimer devant une autorité de recours jouissant d'un plein pouvoir d'examen (ATF 135 I 279 consid. 2.6.1; ATF 133 I 201 consid. 2.2 ; ATF 118 Ib 111 consid. 4b; ATF 116 Ia 94 consid. 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III 218 consid. 2.8.1 ; ATF 137 I 195 consid. 2.3.2 ; ATF 136 V 117 consid. 4.2.2.2 ; ATF 133 I 201 consid. 2.2).</w:t>
      </w:r>
    </w:p>
    <w:p>
      <w:r>
        <w:rPr>
          <w:b/>
        </w:rPr>
        <w:t>E. 2.2</w:t>
      </w:r>
    </w:p>
    <w:p>
      <w:r>
        <w:t>; TF 1B_526/2012 du 24 juin 2013 consid. 2.2 ; TF 1B_67/2012 du 29 mai 2012 et les références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précité ; TF 6B_1365/2017 du 27 juin 2018 consid. 3.3 et les références citées).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2.2.2</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L’entrée en matière peut encore être refusée au terme des investigations policières (art. 306 et 307 CPP), si les conditions de l’art. 310 al. 1 let. a CPP sont réunies (TF 6B_940/2016 du 6 juillet 2017 consid. 3.3). En revanche, lorsqu’une instruction est formellement ouverte ou que l’autorité pénale a procédé à des actes d’instruction, il n’est plus possible de rendre une ordonnance de ce type. L’ordonnance de non-entrée en matière doit ainsi être rendue à réception de la dénonciation, de la plainte ou du rapport de police et ceci avant qu’il ne soit procédé à de plus amples actes d’enquête et qu’une instruction soit ouverte (TF 1B_67/2012 du 29 mai 2012 consid. 2.1), sous réserve de quelques opérations simples de la part du ministère public au préalable. Selon la jurisprudence, le ministère public peut notamment, avant de refuser d’entrer en matière, demander des compléments d’enquête à la police, non seulement lorsqu’il s’agit de compléter un précédent rapport au sens de l’art. 307 CPP, mais aussi lorsque la dénonciation elle-même apparaît insuffisante (TF 6B_1096/2018 du 25 janvier 2019 consid.</w:t>
      </w:r>
    </w:p>
    <w:p>
      <w:r>
        <w:rPr>
          <w:b/>
        </w:rPr>
        <w:t>E. 2.3</w:t>
      </w:r>
    </w:p>
    <w:p>
      <w:r>
        <w:t>En l’espèce, il s’avère qu’ensuite du dépôt de sa plainte, le recourant a – sur demande du Ministère public – transmis des précisions sur les faits qu’il dénonçait, respectivement les 1 er mars et 18 juin 2021 (P. 37 et 39). L’intimé à la procédure s’est déterminé sur ces éléments par courrier du 11 octobre 2021, déposant une écriture de 9 pages et un bordereau de pièces (P. 18 et 19). La procureure n’a cependant pas transmis ces déterminations au recourant pour lui offrir la possibilité de répliquer avant de rendre l’ordonnance entreprise, en violation de son droit d’être entendu. Ce vice de procédure n’étant pas réparable en instance de recours, l’ordonnance doit être annulée. En effet, si la Chambre de céans jouit certes d'un plein pouvoir d'examen, force est cependant de constater que la violation du droit d’être entendu est en l’espèce grave et qu’il importe que le recourant puisse faire valoir ses moyens devant le magistrat instructeur en premier lieu. Compte tenu de l’issue de la procédure, les moyens formulés par le recourant n’ont pas besoin d’être examinés.</w:t>
      </w:r>
    </w:p>
    <w:p>
      <w:r>
        <w:rPr>
          <w:b/>
        </w:rPr>
        <w:t>E. 3</w:t>
      </w:r>
    </w:p>
    <w:p>
      <w:r>
        <w:t>En définitive, le recours doit être admis, l’ordonnance entreprise annulée et le dossier de la cause renvoyé au Ministère public pour qu’il procède dans le sens des considérants.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Le recourant, qui a procédé avec l’assistance d’un avocat de choix, a droit à une indemnité pour les dépenses occasionnées par la procédure de recours, à la charge de l’Etat. Dans sa liste d’opérations produite (P. 21/40), le conseil annonce 10 heures de travail au tarif horaire de 450 francs. Le temps annoncé est disproportionné, étant précisé que le mémoire de recours, de 27 pages, comporte un état de fait relaté sur 17 pages, ce qui n’était pas nécessaire dans la mesure où l’ordonnance entreprise les a déjà rappelés de manière complète. Compte tenu de la nature de la cause, il convient de fixer l’indemnité à 1'800 fr., sur la base de 6 heures d’activité nécessaire d’avocat au tarif horaire de 300 fr. (art. 26a al. 3 TFIP), auxquels il convient d’ajouter des débours forfaitaires à concurrence de 2 % (art. 19 al. 2 TDC [Tarif des dépens en matière civile du 23 novembre 2010 ; BLV 270.11.6], applicable par renvoi de l’art. 26a al. 6 TFIP), par 36 fr., plus un montant correspondant à la TVA, par 141 fr. 35, soit 1'978 fr. au total en chiffres arrondis. Il est enfin précisé qu’à ce stade, M.________ ne participe pas à la procédure et que c’est à tort que le Ministère public lui a communiqué une copie de l’ordonnance attaquée. Compte tenu de cette communication préalable, une copie du présent arrêt sera tout de même adressée à ce dernier. Par ces motifs, la Chambre des recours pénale prononce : I. Le recours est admis. II. L’ordonnance du 11 novembre 2021 est annulée. III. L e dossier de la cause est renvoyé au Ministère public de l’arrondissement de l’Est vaudois pour qu’il procède dans le sens des considérants. IV. Les frais d’arrêt, par 880 fr. (huit cent huitante francs), sont laissés à la charge de l’Etat. V. Une indemnité de 1'978 fr. (mille neuf cent septante-huit francs) est allouée à W.________ pour la procédure de recours, à la charge de l’Etat. VI. L’arrêt est exécutoire. Le président :               La greffière : Du Le présent arrêt, dont la rédaction a été approuvée à huis clos, est notifié, par l'envoi d'une copie complète, à : - Me Guerric Canonica, avocat (pour W.________), - Ministère public central, et communiqué à : ‑ Mme la Procureure de l’arrondissement de l’Est vaudois, - Me Barbara Lardi Pfister, avocate (pour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