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713 vom 14. September 2022</w:t>
      </w:r>
    </w:p>
    <w:p>
      <w:r>
        <w:t>VD Tribunal cantonal, 2022-09-14, FR</w:t>
      </w:r>
    </w:p>
    <w:p>
      <w:r>
        <w:rPr>
          <w:b/>
        </w:rPr>
        <w:t xml:space="preserve">Quelle: </w:t>
      </w:r>
      <w:r>
        <w:t>https://mcp.opencaselaw.ch/entscheid/vd_findinfo_D_cision___2022___713</w:t>
      </w:r>
    </w:p>
    <w:p>
      <w:r>
        <w:t>FR: VD_FINDINFO Décision / 2022 / 713 du 14 septembre 2022</w:t>
      </w:r>
    </w:p>
    <w:p>
      <w:r>
        <w:t>IT: VD_FINDINFO Décision / 2022 / 713 del 14 settembre 2022</w:t>
      </w:r>
    </w:p>
    <w:p>
      <w:pPr>
        <w:pStyle w:val="Heading2"/>
      </w:pPr>
      <w:r>
        <w:t>Regeste</w:t>
      </w:r>
    </w:p>
    <w:p>
      <w:r>
        <w:t>ORDONNANCE DE SÉQUESTRE, REJET DE LA DEMANDE | 69 CP, 263 CPP (CH)</w:t>
      </w:r>
    </w:p>
    <w:p>
      <w:pPr>
        <w:pStyle w:val="Heading2"/>
      </w:pPr>
      <w:r>
        <w:t>Erwägungen</w:t>
      </w:r>
    </w:p>
    <w:p>
      <w:r>
        <w:rPr>
          <w:b/>
        </w:rPr>
        <w:t>E. 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Jeanneret et al. [éd.], Commentaire romand, Code de procédure pénale suisse [ci-après : CR CPP], 2 e éd., Bâle 2019,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dans le délai légal auprès de l’autorité compétente par le prévenu, qui a qualité pour recourir (art. 382 al. 1 CPP), et dans les formes prescrites (art. 385 al. 1 CPP), de sorte qu’il est recevable.</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2.2</w:t>
      </w:r>
    </w:p>
    <w:p>
      <w:r>
        <w:t>Le séquestre de type conservatoire – soit en vue d'une confiscation – (art. 263 al. 1 let. d CPP) consiste à placer sous mains de justice des biens en raison du danger qu'ils présentent pour la sécurité des personnes, la morale ou l'ordre public (art. 69 CP), de leur origine ou de leur utilisation criminelle (art. 70 et 72 CP) pour autant que l'on puisse admettre, prima facie, qu'ils pourront, au terme de la procédure pénale, être détruits, restitués au lésé ou confisqués en application des art. 69 ss CP ou d'autres normes de confiscation spéciales (Julen Berthod, CR CPP, n. 7 ad art. 263 CPP). Aux termes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C'est l'usage qui est fait de l'objet lors de la commission de l'infraction ou sa destination prévue qui lui confère son caractère dangereux et justifie ainsi sa confiscation (Dupuis et alii, Petit Commentaire du Code pénal, 2 e éd., Bâle 2017, n. 11 ad art. 69 CP et les références). Peu importe qu'il soit grevé d'un droit réel limité ou soit la propriété d'un tiers (Dupuis et alii, op. cit., n. 3 et 18 ad art. 69 CP et les références).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TF 6B_35/2017 du 26 février 2018 consid. 9.1; Dupuis et alii, op. cit., n. 12 ad art. 69 CP et les références). A cet égard, on ne saurait toutefois émettre des exigences élevées ; il suffit qu'il soit vraisemblable qu'il y ait un danger si l'objet n'est pas confisqué en mains de l'ayant droit (ATF 125 IV 185 consid. 2a; TF 6B_1277/2018 du 21 février 2019 consid. 3.3).</w:t>
      </w:r>
    </w:p>
    <w:p>
      <w:r>
        <w:rPr>
          <w:b/>
        </w:rPr>
        <w:t>E. 2.3</w:t>
      </w:r>
    </w:p>
    <w:p>
      <w:r>
        <w:t>En l’espèce, X.________ conteste en premier lieu l’existence de fichiers pé dopornographiques dans son ordinateur, invoquant implicitement qu'il n'existe pas de soupçons suffisants laissant présumer la commission d'une infraction, au sens de l'art. 197 al. 1 CPP. Ce grief est cependant mal fondé, pour les motifs déjà exposés dans l’arrêt de la Chambre de céans du 8 février 2022 – auquel il est fait référence et renvoyé –, le recourant n’apportant aucun élément de fait nouveau. Ensuite, l’intéressé se trompe lorsqu’il soutient qu’aucune disposition légale ne permettrait au Service pénitentiaire de procéder à des contrôles dans le contenu des ordinateurs, si ce contenu n’était destiné qu’à l’usage unique du détenu. En effet, l’art. 72 al. 3 RSPC (règlement vaudois du 16 août 2017 sur le statut des personnes condamnées exécutant une peine privative de liberté ou une mesure ; BLV 340.01.1 ) prévoit que, en tout temps, la direction de l’établissement peut procéder à une fouille complète du matériel informatique, des logiciels et des données informatiques stockées sur l’ordinateur ou sur tout autre support de stockage de données en possession de la personne condamnée . Pour le surplus, le recourant plaide en partie le fond de la cause, en soutenant qu’il avait le droit d’écrire les propos qui lui sont reprochés ; cette question devra toutefois être tranchée dans le cadre de la clôture de l’enquête. Il soutient encore qu’il y aurait de la correspondance avec ses avocats, qui serait confidentielle ; il se méprend ici sur la portée de l’art. 271 CPP, qui n’est applicable qu’aux personnes mentionnées à l’art. 171 CPP, dont il ne fait pas partie. Enfin, le recourant conteste la possibilité de confisquer ou détruire les fichiers séquestrés ; à ce stade toutefois, l’ordinateur a été séquestré et aucune décision n’a été prise quant à la suite qui serait donnée en lien avec les données qui seraient jugées illicites. La décision attaquée ne porte pas sur ce point. Les moyens du recourant doivent donc être rejetés dans la mesure où ils sont recevables et l’appréciation du procureur entièrement confirmée.</w:t>
      </w:r>
    </w:p>
    <w:p>
      <w:r>
        <w:rPr>
          <w:b/>
        </w:rPr>
        <w:t>E. 3</w:t>
      </w:r>
    </w:p>
    <w:p>
      <w:r>
        <w:t>Il résulte de ce qui précède que le recours, manifestement mal fondé, doit être rejeté dans la mesure où il est recevable, sans échange d’écritures (art. 390 al. 2 CPP), et l’ordonnance attaquée confirmée. Les frais d'arrêt, par 770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11 août 2022 est confirmée. III. Les frais d’arrêt, par 770 fr. (sept cent septante francs), sont mis à la charge de X.________. IV. L’arrêt est exécutoire. La présidente :               Le greffier : Du Le présent arrêt, dont la rédaction a été approuvée à huis clos, est notifié, par l'envoi d'une copie complète, à : - M. X.________, - Me [...] , avocate (pour X.________), - Ministère public central, et communiqué à : ‑ M. le Procureur de l’arrondissement du Nord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