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706 vom 14. September 2022</w:t>
      </w:r>
    </w:p>
    <w:p>
      <w:r>
        <w:t>VD Tribunal cantonal, 2022-09-14, FR</w:t>
      </w:r>
    </w:p>
    <w:p>
      <w:r>
        <w:rPr>
          <w:b/>
        </w:rPr>
        <w:t xml:space="preserve">Quelle: </w:t>
      </w:r>
      <w:r>
        <w:t>https://mcp.opencaselaw.ch/entscheid/vd_findinfo_D_cision___2022___706</w:t>
      </w:r>
    </w:p>
    <w:p>
      <w:r>
        <w:t>FR: VD_FINDINFO Décision / 2022 / 706 du 14 septembre 2022</w:t>
      </w:r>
    </w:p>
    <w:p>
      <w:r>
        <w:t>IT: VD_FINDINFO Décision / 2022 / 706 del 14 settembre 2022</w:t>
      </w:r>
    </w:p>
    <w:p>
      <w:pPr>
        <w:pStyle w:val="Heading2"/>
      </w:pPr>
      <w:r>
        <w:t>Regeste</w:t>
      </w:r>
    </w:p>
    <w:p>
      <w:r>
        <w:t>RÉCUSATION, MINISTÈRE PUBLIC, REJET DE LA DEMANDE, RETARD | 56 CP, 58 al. 1 CP</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X.________, dès lors qu’elle est dirigée contre un procureur, soit un magistrat du Ministère public.</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1B_117/2022 du 18 mai 2022 consid. 3.1). Il incombe à la partie qui se prévaut d'un motif de récusation de rendre vraisemblable qu'elle a agi en temps utile, en particulier de rendre vraisemblable le moment de la découverte de ce motif (TF 1B_117/2022 précité).</w:t>
      </w:r>
    </w:p>
    <w:p>
      <w:r>
        <w:rPr>
          <w:b/>
        </w:rPr>
        <w:t>E. 2.2</w:t>
      </w:r>
    </w:p>
    <w:p>
      <w:r>
        <w:t>En l’espèce, p ar demande du 28 juin 2022, X.________ a demandé au Procureur général la récusation du Procureur C.________ dans l’affaire PE21.012693-C.________ au motif que, détenu depuis plus de trois décennies, il s’est aperçu que ses plaintes contre la direction des EPO étaient systématiquement frappées d’une non-entrée en matière. Il y voit une relation de « copinage » entre les EPO et le procureur. Il se prévaut d’ailleurs d’avoir déposé une plainte contre ce dernier auprès du Procureur général. Or, force est de constater que le requérant sait depuis l’ouverture de l’instruction, le 21 juillet 2021, que c’est le Procureur C.________ qui est en charge de l’enquête PE21.012693. Or, comme relevé ci-dessus, la demande de récusation doit être présentée sans délai, soit dans les sept jours qui suivent la connaissance du motif. La requête déposée le 28 juin 2022 est dès lors tardive, partant irrecevable. De tout manière, même recevable, elle serait manifestement infondée, pour les motifs suivants.</w:t>
      </w:r>
    </w:p>
    <w:p>
      <w:r>
        <w:rPr>
          <w:b/>
        </w:rPr>
        <w:t>E. 3.1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6B_24/2021 du 5 février 2021 consid.</w:t>
      </w:r>
    </w:p>
    <w:p>
      <w:r>
        <w:rPr>
          <w:b/>
        </w:rPr>
        <w:t>E. 3.2</w:t>
      </w:r>
    </w:p>
    <w:p>
      <w:r>
        <w:t>En l’occurrence, les griefs invoqués à l’appui de la demande de récusation ne reposent sur aucun motif concret. I l s'agit uniquement de ressentis et de suppositions de X.________, qui n'est pas d'accord avec les ordonnances de non-entrée en matière rendues par le Procureur C.________ ensuite des différentes plaintes qu’il a déposées aux EPO, entre 2016 et 2021. De toute manière, la participation d’un procureur ou d’un juge à plusieurs procédures menées séparément ne suffit pas à justifier une récusation (cf. TF 1B_110/2022 précité ; ATF 143 IV 69 précité), procédures qui ont d’ailleurs pu être soumises à l’autorité de recours. La Chambre de céans ne distingue ainsi aucun élément objectif permettant de retenir une quelconque apparence de prévention de la part du Procureur C.________ à l’endroit de X.________. La demande de récusation serait donc de toute manière infondée.</w:t>
      </w:r>
    </w:p>
    <w:p>
      <w:r>
        <w:rPr>
          <w:b/>
        </w:rPr>
        <w:t>E. 4</w:t>
      </w:r>
    </w:p>
    <w:p>
      <w:r>
        <w:t>Il résulte de ce qui précède que la demande de récusation déposée le 28 juin 2022 par X.________ contre le Procureur C.________ est irrecevable. Les frais de la présente procédure, constitués en l’espèce du seul émolument de décision (art. 422 al. 1 CPP), par 880 fr. (art. 20 al. 1 TFIP [tarif des frais de procédure et indemnités en matière pénale du 28 septembre 2010 ; BLV 312.03.1]), seront donc mis à la charge du requérant, conformément à l'art. 59 al. 4 CPP. Par ces motifs, la Chambre des recours pénale prononce : I. La demande de récusation déposée le 28 juin 2022 par X.________ à l’encontre du Procureur C.________ est irrecevable. II. Les frais de la décision, par 880 fr. (huit cent huitante francs), sont mis à la charge de X.________. III. La décision est exécutoire. La présidente :               Le greffier : Du La présente décision, dont la rédaction a été approuvée à huis clos, est notifiée, par l'envoi d'une copie complète, à : - M. X.________, - Ministère public central, et communiquée à : ‑ M. le Procureur de l’arrondissement du Nord vaudois, - Me [...]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