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705 vom 8. Juli 2022</w:t>
      </w:r>
    </w:p>
    <w:p>
      <w:r>
        <w:t>VD Tribunal cantonal, 2022-07-08, FR</w:t>
      </w:r>
    </w:p>
    <w:p>
      <w:r>
        <w:rPr>
          <w:b/>
        </w:rPr>
        <w:t xml:space="preserve">Quelle: </w:t>
      </w:r>
      <w:r>
        <w:t>https://mcp.opencaselaw.ch/entscheid/vd_findinfo_D_cision___2022___705</w:t>
      </w:r>
    </w:p>
    <w:p>
      <w:r>
        <w:t>FR: VD_FINDINFO Décision / 2022 / 705 du 8 juillet 2022</w:t>
      </w:r>
    </w:p>
    <w:p>
      <w:r>
        <w:t>IT: VD_FINDINFO Décision / 2022 / 705 del 8 luglio 2022</w:t>
      </w:r>
    </w:p>
    <w:p>
      <w:pPr>
        <w:pStyle w:val="Heading2"/>
      </w:pPr>
      <w:r>
        <w:t>Regeste</w:t>
      </w:r>
    </w:p>
    <w:p>
      <w:r>
        <w:t>ORDONNANCE DE NON-ENTRÉE EN MATIÈRE, CONTRAINTE{DROIT PÉNAL} | 181 CP, 310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satisfaisant aux conditions de forme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se plaint d’une constatation erronée des faits ainsi que d’une violation des art. 181 CP et 310 CPP. Il reproche au procureur d’avoir considéré que les écrits litigieux ne laissaient pas entendre qu’il allait connaître une « cascade d’ennuis » et qu’il risquait de connaître le même sort que le dénommé N.________ qui aurait « fait malaria sur malaria » après avoir été « traduit devant le conseil familial » ou que celui que T.________ aurait vu se « faire éclater la tronche à la kalasch » s’il ne payait pas. La menace de déposer une plainte pénale à son encontre serait en outre clairement illicite, dès lors que T.________ aurait exigé du plaignant une somme d’argent qui ne pouvait être due que par sa société tombée au demeurant en faillite.</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 TF 6B_8/2017 du 15 août 2017 consid. 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notion de menace est ici identique à celle de l’art. 180 CP. Mais contrairement à ce que prévoit cette dernière disposition, la menace n’a pas à être grave (Favre, in : Macaluso et al. [éd.], Commentaire romand, Code pénal II, Bâle 2017, n. 15 ad art. 181 CP).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Selon la jurisprudence relative à l’art. 180 CP,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(TF 6B_1009/2014 du 2 avril 2015 consid. 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ATF137 IV 326 consid. 3.3.1; TF 6B_153/2017 du 28 novembre 2017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références citées ; TF 6B_1272/2021 du 28 avril 2022 consid. 2.1.2 et les réf. citées).</w:t>
      </w:r>
    </w:p>
    <w:p>
      <w:r>
        <w:rPr>
          <w:b/>
        </w:rPr>
        <w:t>E. 3.3</w:t>
      </w:r>
    </w:p>
    <w:p>
      <w:r>
        <w:t>En l’espèce, il ressort du dossier et en particulier de courriels datant du mois de mai 2017 que T.________ et L.________ étaient en relation d’affaires (P. 13/2 « salut associé ! »). Le 19 février 2018, le premier a proposé au second de le rejoindre pour « développer des expansions » (P. 13/3). Entendu en qualité de prévenu le 20 juillet 2021, L.________ a déclaré que T.________ serait propriétaire de la société O.________. On ne saurait retenir que les messages litigieux, qui ont été envoyés au mois de février 2021, constituent un moyen de pression tant ils sont emphatiques. A leur lecture, on comprend que T.________ a expliqué à L.________ qu’il connaissait les méthodes des escrocs, notamment Africains, que certains avaient essayé de le tromper, qu’il était à l’origine de leur emprisonnement, que le fait pour L.________ de nier qu’il avait fait « une connerie » allait lui causer une cascade d’ennuis, qu’il lui demandait de le payer et qu’une plainte pénale avait été déposée ou était sur le point de l’être. Il n’y a là aucun élément constitutif de tentative de contrainte. La prétendue menace que constituerait le fait de passer devant un conseil de famille siégeant « sous un manguier ou un baobab » comme le dénommé N.________, qui aurait ensuite contracté la malaria et dû être hospitalisé plusieurs fois, frise quant à elle le ridicule. Par ailleurs, lorsqu’il a évoqué une kalachnikov, T.________ entendait signifier au plaignant qu’il n’était pas impressionnable et faisait référence à l’agression dont il aurait été lui-même victime. Il a indiqué que si le plaignant avait été à sa place lors de cette attaque, il se serait fait tirer dessus en raison de son manque de sang-froid. Il n’a nullement sous-entendu que quelqu’un allait tirer avec une telle arme sur le plaignant. On relèvera encore qu’entendu en qualité de prévenu par le procureur, le recourant a indiqué qu’il s’était montré « extrêmement cool » et qu’il n’avait pas déposé plainte contre T.________ qui l’avait menacé parce qu’il avait eu pitié de sa situation, précisant que T.________ était battu par sa femme, qu’il vivait chez des amis et qu’il n’avait pas d’argent (PV aud. 1, l. 72-73). Dans ces conditions, il n’est pas concevable que L.________ ait pu craindre la survenance d’un dommage sérieux, ce d’autant moins qu’il n’a déposé plainte qu’après cette audition. On ne saurait par conséquent retenir que les messages litigieux constituaient des moyens de pression propres à impressionner le plaignant. Quant à l’argument selon lequel T.________ aurait exigé du plaignant personnellement le versement d’un montant, alors que seule la société W.________ en faillite en aurait été débitrice, il tombe à faux. Le montant réclamé est lié à une escroquerie que le plaignant aurait commise, de sorte que si celle-ci était avérée, L.________ serait personnellement débiteur de cette somme, même s’il avait agi dans le cadre de la gestion de sa société à responsabilité limitée qui avait été déclarée en faillite. Au demeurant, le plaignant a lui-même exposé qu’en janvier 2021, la reprise des dettes de la société en son nom propre avait été discutée et qu’il avait refusé la convention établie en ce sens par le conseil de T.________ ( idem , l. 90 ss). On ne saurait ainsi retenir que T.________, en menaçant L.________ de déposer une plainte pénale s’il ne s’acquittait pas de la dette en lien avec une infraction pénale qu’il aurait commise à son détriment, tentait d’obtenir un avantage indu. Compte tenu de ce qui précède, c’est à juste titre que le procureur a considéré que les messages envoyés par T.________ n’étaient pas constitutifs de tentative de contrainte et qu’il a refusé d’entrer en matière sur la plainte du recourant.</w:t>
      </w:r>
    </w:p>
    <w:p>
      <w:r>
        <w:rPr>
          <w:b/>
        </w:rPr>
        <w:t>E. 4</w:t>
      </w:r>
    </w:p>
    <w:p>
      <w:r>
        <w:t>En définitive, le recours, manifestement mal fondé, doit être rejeté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de non-entrée en matière du 23 février 2022 est confirmée. III. Les frais d’arrêt, par 1’100 fr. (mille cent francs), sont mis à la charge de L.________. IV. L’arrêt est exécutoire. La présidente :               La greffière : Du Le présent arrêt, dont la rédaction a été approuvée à huis clos, est notifié, par l'envoi d'une copie complète, à : - Me Jonathan Rey, avocat (pour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