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699 vom 4. August 2022</w:t>
      </w:r>
    </w:p>
    <w:p>
      <w:r>
        <w:t>VD Tribunal cantonal, 2022-08-04, FR</w:t>
      </w:r>
    </w:p>
    <w:p>
      <w:r>
        <w:rPr>
          <w:b/>
        </w:rPr>
        <w:t xml:space="preserve">Quelle: </w:t>
      </w:r>
      <w:r>
        <w:t>https://mcp.opencaselaw.ch/entscheid/vd_findinfo_D_cision___2022___699</w:t>
      </w:r>
    </w:p>
    <w:p>
      <w:r>
        <w:t>FR: VD_FINDINFO Décision / 2022 / 699 du 4 août 2022</w:t>
      </w:r>
    </w:p>
    <w:p>
      <w:r>
        <w:t>IT: VD_FINDINFO Décision / 2022 / 699 del 4 agosto 2022</w:t>
      </w:r>
    </w:p>
    <w:p>
      <w:pPr>
        <w:pStyle w:val="Heading2"/>
      </w:pPr>
      <w:r>
        <w:t>Regeste</w:t>
      </w:r>
    </w:p>
    <w:p>
      <w:r>
        <w:t>PLAIGNANT, PARTIE À LA PROCÉDURE, REJET DE LA DEMANDE, PRÉVENU, USAGE DE FAUX{DROIT PÉNAL}, LÉSÉ, ESCROQUERIE, PROCÉDURE | 146 al. 1 CP, 251 CP, 115 al. 1 CPP (CH), 118 al. 1 CPP (CH)</w:t>
      </w:r>
    </w:p>
    <w:p>
      <w:pPr>
        <w:pStyle w:val="Heading2"/>
      </w:pPr>
      <w:r>
        <w:t>Erwägungen</w:t>
      </w:r>
    </w:p>
    <w:p>
      <w:r>
        <w:rPr>
          <w:b/>
        </w:rPr>
        <w:t>E. 1</w:t>
      </w:r>
    </w:p>
    <w:p>
      <w:r>
        <w:t>L'art. 393 al. 1 let. a CPP (Code de procédure pénale du 5 octobre 2007 ; RS 312.0) ouvre la voie du recours contre les décisions rendues par le Ministère public. Le recours s'exerce par le dépôt, dans les dix jours, d'un mémoire motivé adressé à l'autorité de recours, soit, dans le canton de Vaud, à la Chambre des recours pénale du Tribunal cantonal (art. 396 al. 1 CPP ; art. 13 al. 1 LVCPP [loi vaudoise d’introduction du Code de procédure pénale suisse du 19 mai 2009 ; BLV 312.01]). En l’espèce, le recours a été interjeté dans le délai légal, auprès de l'autorité compétente et dans les formes prescrites (art. 385 al. 1 CPP), par le prévenu, qui a un intérêt juridiquement protégé (art. 382 al. 1 CPP) à ce que la qualité de partie plaignante soit déniée à F.________ et J.________. Partant, il est recevable.</w:t>
      </w:r>
    </w:p>
    <w:p>
      <w:r>
        <w:rPr>
          <w:b/>
        </w:rPr>
        <w:t>E. 2</w:t>
      </w:r>
    </w:p>
    <w:p>
      <w:r>
        <w:t>; TF 6B_807/2021 du 7 juin 2022 consid. 4.1.2 ; TF 6B_941/2021 du 9 mars 2022 consid. 3.4.1 ; TF 6B_1110/2021 du 11 janvier 2022 consid. 3.2 ; TF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 TF 6B_807/2021 du 7 juin 2022 consid. 4.1.2 ; TF 6B_751/2018 du 2 octobre 2019 consid. 1.4.3). La figure de l'escroquerie au procès peut être envisagée, lorsque l'auteur trompe astucieusement le juge lors du procès, par exemple en produisant de faux documents (TF 6B_807/2021 du 7 juin 2022 consid. 4.1.2 ; TF 6B_941/2021 du 9 mars 2022 consid. 3.4.1).</w:t>
      </w:r>
    </w:p>
    <w:p>
      <w:r>
        <w:rPr>
          <w:b/>
        </w:rPr>
        <w:t>E. 2.1</w:t>
      </w:r>
    </w:p>
    <w:p>
      <w:r>
        <w:t>Le recourant fait valoir que l’infraction de faux dans les titres protège en premier lieu un intérêt collectif et que les intérêts privés ne sont lésés que s’il existe une lésion directe, soit que le faux dans les titres désavantage concrètement une personne déterminée. Dans le cas particulier, en ce qui concerne les travaux de chape, le recourant soutient qu’il avait le droit de faire inscrire l’hypothèque légale requise nonobstant l’existence du devis qualifié de faux, de sorte que les intimés ne subiraient aucune atteinte directe à leurs intérêts.</w:t>
      </w:r>
    </w:p>
    <w:p>
      <w:r>
        <w:rPr>
          <w:b/>
        </w:rPr>
        <w:t>E. 2.2.1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145 IV 491 consid. 2.3).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 ATF 141 IV 454 consid. 2.3.1; TF 1B_40/2020 du 18 juin 2020 consid. 3 et les arrêts cités).</w:t>
      </w:r>
    </w:p>
    <w:p>
      <w:r>
        <w:rPr>
          <w:b/>
        </w:rPr>
        <w:t>E. 2.2.2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Selon la jurisprudence, l'infraction de faux dans les titres vise non seulement à protéger la confiance du public dans l'exactitude d'un titre mais encore la confiance spéciale dont jouissent les actes officiels de l'Etat et aussi l'intérêt de l'Etat à une gestion fiable par ses fonctionnaires (ATF 95 IV 113 consid. 2b ; ATF 81 IV 285 consid. 1.3). Le faux dans les titres peut cependant également porter atteinte à des intérêts individuels ; une personne peut être considérée comme lésée par un faux lorsque celui-ci vise précisément à lui nuire (ATF 147 IV 269 consid. 3.3 ; ATF 140 IV 155 consid. 3.3.3M ; TF 1B_40/2020 du 18 juin 2020 consid. 6.2; Dupuis et al., Code pénal, Petit Commentaire, 2 e éd. 2017, n. 1 ad art. 317 CPP ; Oberholzer, Grundzüge des Strafprozessrechts, 3 e éd. 2012, n. 544).</w:t>
      </w:r>
    </w:p>
    <w:p>
      <w:r>
        <w:rPr>
          <w:b/>
        </w:rPr>
        <w:t>E. 2.2.3</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w:t>
      </w:r>
    </w:p>
    <w:p>
      <w:r>
        <w:rPr>
          <w:b/>
        </w:rPr>
        <w:t>E. 2.3</w:t>
      </w:r>
    </w:p>
    <w:p>
      <w:r>
        <w:t>En l’espèce, dans le cadre du litige civil concernant des travaux de construction qui divise [...] SA d’avec les intimés, un devis argué de faux a été produit le 12 juillet 2018 à l’appui d’une demande d’inscription provisoire d’hypothèque légale des artisans et entrepreneurs, et le 28 janvier 2019 à l’appui d’une demande d’inscription définitive. Le 20 novembre 2019, soit cinq mois après que la question de la falsification du devis a été soulevée, le recourant, qui est l’administrateur président de la requérante, a retiré la pièce de la procédure. Ainsi, le fait que le titre en cause n’ait pas été évoqué notamment dans l’arrêt de la Cour d’appel civile du 30 mars 2022, comme le relève le recourant, n’est pas pertinent, dès lors que cette pièce ne se trouvait plus au dossier depuis novembre 2019. Le fait que le devis en cause a été retiré de la procédure ou que le recourant obtienne cas échéant gain de cause au civil n’implique pas que l’infraction ne serait pas réalisée, ce que S.________ ne conteste au demeurant pas. Le devis du 25 octobre 2017, contresigné par les maîtres de l’ouvrage, relatif à la pose de la chape, établit que des travaux ont été commandés (cf. consid. 4.3.2.1 de l’arrêt de la Cour d’appel civile du 30 mars 2022). Dans ces circonstances et à supposer que ce devis soit un faux, il a été produit dans le dessein d’avantager l’entreprise du recourant dans le cadre de la procédure civile et ainsi de nuire aux plaignants. Peu importe l’issue de cette procédure. En effet, comme relevé plus haut (cf. consid. 2.2.3 ainsi que, par ex., TF 6B_941/2021 du 9 mars 2021 consid. 3.4.1), la figure de l’escroquerie au procès peut être envisagée lorsque l’auteur trompe astucieusement le juge lors du procès, par exemple en produisant de faux documents. Si ces documents n’étaient pas propres à entraîner le gain du procès, comme le soutient le recourant, cela n’exclut pas la punissabilité de l’acte en raison d’une tentative d’escroquerie (cf. art. 22 al. 1 in fine CP). Pour ces motifs, la qualité de partie plaignante doit être reconnue à F.________ et J.________. Par conséquent, c’est à juste titre que la procureure a rejeté la requête du recourant tendant au rejet de la qualité de partie plaignante des prénommés.</w:t>
      </w:r>
    </w:p>
    <w:p>
      <w:r>
        <w:rPr>
          <w:b/>
        </w:rPr>
        <w:t>E. 3</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du recourant, qui succombe (art. 428 al. 1 CPP). Vu l’issue de la procédure de recours, le recourant n’a pas droit à une indemnité pour les dépenses occasionnées par l’exercice raisonnable de ses droits de procédure. Par ces motifs, la Chambre des recours pénale prononce : I. Le recours est rejeté. II. L’ordonnance du 18 juillet 2022 est confirmée. III. Les frais d’arrêt, par 880 fr. (huit cent huitante francs), sont mis à la charge de S.________. IV. L’arrêt est exécutoire. La présidente :               La greffière : Du Le présent arrêt, dont la rédaction a été approuvée à huis clos, est notifié, par l'envoi d'une copie complète, à : - Me François Membrez, avocat (pour S.________), - Me Adreas Fabjan, avocat (pour F.________ et J.________),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