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674 vom 28. Juni 2022</w:t>
      </w:r>
    </w:p>
    <w:p>
      <w:r>
        <w:t>VD Tribunal cantonal, 2022-06-28, FR</w:t>
      </w:r>
    </w:p>
    <w:p>
      <w:r>
        <w:rPr>
          <w:b/>
        </w:rPr>
        <w:t xml:space="preserve">Quelle: </w:t>
      </w:r>
      <w:r>
        <w:t>https://mcp.opencaselaw.ch/entscheid/vd_findinfo_D_cision___2022___674</w:t>
      </w:r>
    </w:p>
    <w:p>
      <w:r>
        <w:t>FR: VD_FINDINFO Décision / 2022 / 674 du 28 juin 2022</w:t>
      </w:r>
    </w:p>
    <w:p>
      <w:r>
        <w:t>IT: VD_FINDINFO Décision / 2022 / 674 del 28 giugno 2022</w:t>
      </w:r>
    </w:p>
    <w:p>
      <w:pPr>
        <w:pStyle w:val="Heading2"/>
      </w:pPr>
      <w:r>
        <w:t>Regeste</w:t>
      </w:r>
    </w:p>
    <w:p>
      <w:r>
        <w:t>ORDONNANCE DE CLASSEMENT, LÉSION CORPORELLE SIMPLE, DOMMAGES À LA PROPRIÉTÉ{DROIT PÉNAL}, INJURE, ADMISSION DE LA DEMANDE |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2 e éd.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 e éd., Zurich/Bâle/Genève 2014, n. 2 ad art. 385 CPP). Ainsi, il doit indiquer dans quelle mesure et sous quel angle il entend critiquer l’établissement des faits ou l’application du droit (TF 1B_318/2021 du 25 janvier 2022 consid. 4.1 ; Calame, in : Kuhn/Jeanneret/Perrier Depeursinge [éd.], Commentaire romand, Code de procédure pénale suisse, 2 e éd., Bâle 2019, n. 20 ad art. 385 CPP).</w:t>
      </w:r>
    </w:p>
    <w:p>
      <w:r>
        <w:rPr>
          <w:b/>
        </w:rPr>
        <w:t>E. 1.3</w:t>
      </w:r>
    </w:p>
    <w:p>
      <w:r>
        <w:t>En l’espèce, interjeté en temps utile devant l’autorité compétente, par la partie plaignante qui a qualité pour recourir (art. 382 al. 1 CPP), et satisfaisant aux conditions de forme prescrites (art. 385 al. 1 CPP), le recours est recevable en tant qu’il concerne les infractions de lésions corporelles simples et de dommages à la propriété. Le recourant ne développe toutefois aucun moyen en lien avec le classement de la procédure pour l’infraction d’injure de sorte que son recours est irrecevable sur ce point particulier.</w:t>
      </w:r>
    </w:p>
    <w:p>
      <w:r>
        <w:rPr>
          <w:b/>
        </w:rPr>
        <w:t>E. 2.1</w:t>
      </w:r>
    </w:p>
    <w:p>
      <w:r>
        <w:t>Le recourant reproche aux deux agents dénoncés un usage disproportionné de la force à l’origine de lésions corporelles et de dommage la propriété. Il soutient que l’ordonnance entreprise a été rendue en violation du principe « in dubio pro duriore » et se prévaut d’une violation des art. 14 CP, 200 et 319 CPP.</w:t>
      </w:r>
    </w:p>
    <w:p>
      <w:r>
        <w:rPr>
          <w:b/>
        </w:rPr>
        <w:t>E. 2.1.1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4.1.2 et les références citées ; TF 6B_996/2021 du 31 mai 2022 consid. 3.1 et les références citées).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16 août 2022/443 consid. 2 in fine ; CREP 12 juillet 2022/522 consid. 2.2.1 ; CREP 8 juin 2020/439 consid. 2.2).</w:t>
      </w:r>
    </w:p>
    <w:p>
      <w:r>
        <w:rPr>
          <w:b/>
        </w:rPr>
        <w:t>E. 2.1.2</w:t>
      </w:r>
    </w:p>
    <w:p>
      <w:r>
        <w:t>Aux termes de l’art. 123 al.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L’art. 144 al. 1 CP dispose que Celui qui aura endommagé, détruit ou mis hors d’usage une chose appartenant à autrui ou frappée d’un droit d’usage ou d’usufruit au bénéfice d’autrui sera, sur plainte, puni d’une peine privative de liberté de trois ans au plus ou d’une peine pécuniaire. Selon l’art. 14 CP, quiconque agit comme la loi l’ordonne ou l’autorise se comporte de manière licite, même si l’acte est punissable en vertu du présent code ou d’une autre loi. Même autorisé par la loi, l'acte commis dans l'accomplissement d'un devoir de fonction doit être proportionné à son but. Pour respecter la proportionnalité, il faut pondérer les valeurs qui entrent en considération : d'une part, la fin poursuivie par l'agent,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218 consid. 6.7.1 ; ATF 140 I 381 consid. 4.5 ; ATF 137 I 167 consid. 3.6 ; TF 6B_1085/2017 du 28 mai 2018 consid. 3.3 ; CREP 8 juillet 2019/519 consid. 2.3). Aux termes de l’art. 200 CPP, la force ne peut être utilisée qu’en dernier recours pour exécuter les mesures de contrainte ; l’intervention doit être conforme au principe de la proportionnalité. L'art. 24 de la loi vaudoise sur la police cantonale (LPol ; BLV 133.11) interdit au fonctionnaire de police de faire subir à quiconque un outrage ou des mauvais traitements, mais prévoit que la police peut, pour l'accomplissement de son service, utiliser la force, dans une mesure proportionnée aux circonstances, lorsqu'il n'existe pas d'autre moyen d'agir.</w:t>
      </w:r>
    </w:p>
    <w:p>
      <w:r>
        <w:rPr>
          <w:b/>
        </w:rPr>
        <w:t>E. 2.2</w:t>
      </w:r>
    </w:p>
    <w:p>
      <w:r>
        <w:t>En l’espèce, le procureur s’est référé au rapport de police établi ensuite de l’intervention du 3 juillet 2020 (P. 6/1) pour considérer que les deux policiers avaient adopté un comportement proportionné et, partant, licite au sens de l’art. 14 CP. Il a en particulier retenu que les prévenus étaient chargés d’exécuter un mandat d’amener délivré contre le recourant, que ce dernier avait refusé de les suivre au motif qu’il avait demandé le report de son audition, que les prévenus avaient alors accepté que le recourant contacte la procureure qu’il l’avait convoqué par téléphone, que, celle-ci ne répondant pas à l’appel, ils lui avait demandé de monter dans leur véhicule, que le recourant avait à nouveau refusé d’obtempérer et qu’après une ultime sommation, il avait dû être mis au sol après s’être débattu pour éviter les menottes. Cette appréciation ne peut toutefois être suivie. En effet, il ressort des déclarations du plaignant (PV aud. 3, lignes 59 ss) ainsi que du rapport de police (P. 6, p. 4) que lorsque le recourant a été amené au sol, il avait en réalité été « mis en attente » par le secrétariat du Ministère public qu’il cherchait à joindre. Or, cet élément est déterminant. On voit en effet mal comment le recours à la force pouvait se justifier s’il a effectivement eu lieu alors que le recourant était toujours en ligne avec les services du Ministère public et attendait de pouvoir parler à la procureure qu’il avait préalablement été autorisé à appeler. Il convient dès lors d’instruire plus précisément cette question en commençant par – à tout le moins – auditionner les deux prévenus - qui n’ont à ce stade pas encore été entendus par le procureur - pour qu’ils précisent leur version des faits sur ce point en particulier.</w:t>
      </w:r>
    </w:p>
    <w:p>
      <w:r>
        <w:rPr>
          <w:b/>
        </w:rPr>
        <w:t>E. 4</w:t>
      </w:r>
    </w:p>
    <w:p>
      <w:r>
        <w:t>En définitive, le recours doit être admis dans la mesure où il est recevable, l’ordonnance entreprise annulée en tant qu’elle classe la procédure pour lésions corporelles simples et dommage la propriété. Elle est confirmée pour le surplus. Le dossier de la cause est renvoyé au Ministère public de l’arrondissement de Lausanne pour qu’il procède dans le sens des considérants. Les frais de la procédure de recours, constitués en l’espèce du seul émolument d’arrêt, par 990 fr. (art. 20 al. 1 TFIP [tarif des frais de procédure et indemnités en matière pénale du 28 septembre 2010 ; BLV 312.03.1]), seront laissés à la charge de l’Etat (art. 428 al. 4 CPP). Le recourant, qui a procédé avec l’assistance d’un avocat de choix et qui a obtenu gain de cause, a droit à une indemnité pour les dépenses occasionnées par l’exercice raisonnable de ses droits pour la procédure de recours, à la charge de l’Etat. Au vu de la nature de la cause et du mémoire produit, cette indemnité sera fixée à 900 fr., correspondant à 3 heures d'activité nécessaire d’avocat au tarif horaire de 300 fr., montant auquel s’ajoutent des débours forfaitaires à concurrence de 2 % (art. 19 al. 2 TDC [Tarif des dépens en matière civile du 23 novembre 2010 ; BLV 270.11.6], applicable par renvoi de l’art. 26a al. 6 TFIP), par 18 fr., ainsi que la TVA, par 70 fr. 70, de sorte que l’indemnité s'élève au total à 989 fr. en chiffres arrondis. L’ordonnance entreprise n’a pas été notifiée, à tort, aux intimés, K.________ et X.________. Force est toutefois de constater que ces derniers ne subissent aucun préjudice irréparable de ce fait, ni du fait que la Chambre de céans ne les interpelle pas dans la procédure de recours, dès lors qu’ils pourront pleinement faire valoir leurs arguments dans le cadre de l'instruction à venir (TF 6B_912/2020 du 17 septembre 2020, consid. 1.4). Par ces motifs, la Chambre des recours pénale prononce : I. Le recours est admis dans la mesure où il est recevable. II. L’ordonnance du 1 er mars 2022 est annulée en tant qu’elle classe la procédure pour lésions corporelles simples et dommage la propriété. Elle est maintenue pour le surplus. III. Le dossier de la cause est renvoyé au Ministère public de l'arrondissement de Lausanne pour qu’il procède dans le sens des considérants. IV. Une indemnité de 989 fr. (neuf cent huitante-neuf francs) est allouée à M.________, à la charge de l’Etat. V. Les frais d’arrêt, par 990 fr. (neuf cent nonante francs), sont laissés à la charge de l’Etat. VI. L’arrêt est exécutoire. La présidente :               La greffière : Du Le présent arrêt, dont la rédaction a été approuvée à huis clos, est notifié, par l'envoi d'une copie complète, à : - Me Alexandre Reil,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