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668 vom 6. September 2022</w:t>
      </w:r>
    </w:p>
    <w:p>
      <w:r>
        <w:t>VD Tribunal cantonal, 2022-09-06, FR</w:t>
      </w:r>
    </w:p>
    <w:p>
      <w:r>
        <w:rPr>
          <w:b/>
        </w:rPr>
        <w:t xml:space="preserve">Quelle: </w:t>
      </w:r>
      <w:r>
        <w:t>https://mcp.opencaselaw.ch/entscheid/vd_findinfo_D_cision___2022___668</w:t>
      </w:r>
    </w:p>
    <w:p>
      <w:r>
        <w:t>FR: VD_FINDINFO Décision / 2022 / 668 du 6 septembre 2022</w:t>
      </w:r>
    </w:p>
    <w:p>
      <w:r>
        <w:t>IT: VD_FINDINFO Décision / 2022 / 668 del 6 settembre 2022</w:t>
      </w:r>
    </w:p>
    <w:p>
      <w:pPr>
        <w:pStyle w:val="Heading2"/>
      </w:pPr>
      <w:r>
        <w:t>Regeste</w:t>
      </w:r>
    </w:p>
    <w:p>
      <w:r>
        <w:t>DÉTENTION POUR DES MOTIFS DE SÛRETÉ, PROPORTIONNALITÉ | 212 al. 3 CPP (CH), 221 CPP (CH)</w:t>
      </w:r>
    </w:p>
    <w:p>
      <w:pPr>
        <w:pStyle w:val="Heading2"/>
      </w:pPr>
      <w:r>
        <w:t>Erwägungen</w:t>
      </w:r>
    </w:p>
    <w:p>
      <w:r>
        <w:rPr>
          <w:b/>
        </w:rPr>
        <w:t>E. 1</w:t>
      </w:r>
    </w:p>
    <w:p>
      <w:r>
        <w:t>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Interjeté dans le délai légal par le Ministère public qui a qualité pour recourir (art. 381 al. 1 CPP) et dans les formes prescrites (art. 385 al. 1 CPP), le recours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w:t>
      </w:r>
    </w:p>
    <w:p>
      <w:r>
        <w:rPr>
          <w:b/>
        </w:rPr>
        <w:t>E. 3.1</w:t>
      </w:r>
    </w:p>
    <w:p>
      <w:r>
        <w:t>et les arrêts cités, JdT 2020 IV 3 ; TF 1B_13/2022 du 3 février 2022 consid. 5.1). Afin d'éviter d'empiéter sur les compétences du juge du fond, le juge de la détention ne tient en principe pas compte de l'éventuel octroi, par l'autorité de jugement, d'un sursis, d'un sursis partiel ou d'une libération conditionnelle (ATF 145 IV 179 consid. 3.4 ; ATF 143 IV 168 consid. 5.1) ; pour entrer en considération sur cette dernière hypothèse, son octroi doit être d'emblée évident (ATF 145 IV 179 consid. 3.4 ; TF 1B_185/2020 du 29 avril 2020 consid. 4.1 et l'arrêt cité ; TF 1B_383/2021 du 4 août 2021 consid. 4.1 ; TF 1B_405/2022 du 18 août 2022 consid. 2.2). Selon la jurisprudence, le principe de proportionnalité impose aux autorités pénales, lors du contrôle de la durée de la détention avant jugement, d'être d'autant plus prudentes lorsque la durée de cette mesure s'approche de celle de la peine privative de liberté encourue ; le rapport entre la durée de la détention déjà subie et celle encourue n'est en tout cas pas seul déterminant (ATF 145 IV 179 consid. 3.5 ; TF 1B_158/2021 du 20 avril 2021 consid. 2.1).</w:t>
      </w:r>
    </w:p>
    <w:p>
      <w:r>
        <w:rPr>
          <w:b/>
        </w:rPr>
        <w:t>E. 3.2.1</w:t>
      </w:r>
    </w:p>
    <w:p>
      <w:r>
        <w:t>En vertu des art. 31 al. 3 Cst. (Constitution fédérale de la Confédération suisse du 18 avril 1999 ; RS 101) et 5 par. 3 CEDH (Convention de sauvegarde des droits de l’homme et des libertés fondamentales du 4 novembre 1950 ; RS 0.101), toute personne qui est mise en détention préventive a le droit d'être jugée dans un délai raisonnable ou d'être libérée pendant la procédure pénale. L'art. 212 al. 3 CPP prévoit ainsi que la détention provisoire ou pour des motifs de sûreté ne doit pas durer plus longtemps que la peine privative de liberté prévisible. Le juge peut dès lors maintenir une telle mesure aussi longtemps qu'elle n'est pas très proche de la durée de la peine privative de liberté à laquelle il faut s'attendre concrètement en cas de condamnation. Il convient d'accorder une attention particulière à cette limite, car il y a lieu de veiller à ce que les autorités de jugement ne prennent pas en considération dans la fixation de la peine la durée de la détention avant jugement à imputer selon l'art. 51 CP (Code pénal suisse du 21 décembre 1937 ; RS 311.0 ; ATF 145 IV 179 consid.</w:t>
      </w:r>
    </w:p>
    <w:p>
      <w:r>
        <w:rPr>
          <w:b/>
        </w:rPr>
        <w:t>E. 3.2.2</w:t>
      </w:r>
    </w:p>
    <w:p>
      <w:r>
        <w:t>L'art. 231 al. 1 let. a CPP prévoit qu’au moment du jugement, le tribunal de première instance détermine si le prévenu qui a été condamné doit être placé ou maintenu en détention pour des motifs de sûreté pour garantir l’exécution de la peine ou de la mesure prononcée. L'art. 220 al. 2 CPP précise que la détention pour des motifs de sûreté prend fin notamment au moment où l'expulsion est exécutée. Selon le Tribunal fédéral, comme l’expulsion est une mesure à caractère pénal (art. 66a al. 1 let. b CP), les art. 220 al. 2 et 231 al. 1 let. a CPP fournissent une base légale suffisante pour placer une personne en détention pour des motifs de sûreté afin de garantir l'exécution de l'expulsion pénale prononcée en première instance. La compétence des autorités pénales, donnée jusqu'à l'achèvement de la procédure pénale, n'empêche cependant pas les autorités administratives d'intervenir avant ce stade : l'art. 76 al. 1 LEI (Loi fédérale sur les étrangers et l'intégration du 16 décembre 2005, intitulée jusqu’au 31 décembre 2018 Loi fédérale sur les étrangers [LEtr] ; RS 142.20) permet à l'autorité administrative de placer ou de maintenir en détention administrative la personne concernée dès la notification d'une décision de « première instance » d'expulsion au sens des art. 66a ou 66a bis CP, soit avant l'entrée en force du jugement pénal. Une telle détention doit encore respecter le principe de la proportionnalité (art. 5 par. 3 CEDH, art. 31 al. 3 Cst. et art. 212 al. 3 CPP). Il est ainsi possible de maintenir en détention pour des motifs de sûreté une personne condamnée à une expulsion et à une peine privative de liberté avec sursis, tant que la question de l'octroi du sursis est incertaine, tant que la détention subie ne dépasse pas la quotité de la peine privative de liberté prononcée en première instance et tant que le principe de la célérité (art. 5 al. 1 CPP) est respecté (ATF 143 IV 168 consid. 3.2, 3.3 et 5).</w:t>
      </w:r>
    </w:p>
    <w:p>
      <w:r>
        <w:rPr>
          <w:b/>
        </w:rPr>
        <w:t>E. 3.3</w:t>
      </w:r>
    </w:p>
    <w:p>
      <w:r>
        <w:t>En l’espèce, comme indiqué ci-dessus, selon la jurisprudence du Tribunal fédéral, l'éventuel octroi d'un sursis n'a en principe pas à être pris en considération dans l'examen de la proportionnalité de la détention provisoire. A cela s’ajoute que si le casier judiciaire suisse du prévenu est effectivement vierge de toute inscription, il semble, comme cela ressort de ses propres déclarations, que U.________ ait été incarcéré durant deux ans en France pour avoir frappé quelqu’un (cf. PV aud. du 18 mars 2022, D. 18, p. 5). Or, le dossier en mains de la Cour de céans ne contient pas de casier judiciaire français ni aucun renseignement sur d’éventuels antécédents aux Pays-Bas ou en Italie, pays où il dit avoir vécu avant et après son séjour en France et dans lequel il aurait eu des démêlés avec « des gens de la mafia » pour qui il n’avait pas voulu travailler. Le procès-verbal des opérations ne mentionne pas que ces renseignements aient été demandés. Or, ceux-ci sont susceptibles d’influencer le juge du fond quant au pronostic à poser s’agissant d’un éventuel sursis. Ces circonstances ne permettent ainsi pas de faire exception à la règle précitée : il n’apparaît pas d’emblée évident que les conditions posées à l’octroi d’un sursis sont réalisées. En particulier, l’absence d’antécédents ne semble pas avérée au vu des propres déclarations du prévenu. Le dossier devra être complété sur cette question. Tous les actes incriminés ne sont en outre pas anodins, puisqu’il semble que le prévenu se soit introduit dans la chambre d’une enfant alors qu’elle dormait (cf. procès-verbal d’audition-plainte d’O.________). Enfin, en vertu de l’art. 66a al. 1 let. d CP, le prévenu est susceptible d’être expulsé. Or, on l’a dit, le prévenu présente un risque de fuite concret (art. 221 al. let. a CPP). Il est ainsi fort à craindre qu’il tente de se soustraire à l’exécution de cette mesure en disparaissant dans la clandestinité. On rappellera encore que les art. 220 al. 2 et 231 al. 1 let. a CPP fournissent une base légale suffisante au tribunal de première instance pour placer une personne en détention pour des motifs de sûreté afin de garantir l'exécution d’une telle mesure. Dans ces circonstances et au vu du cumul des infractions faisant l'objet de la présente instruction, les quelque cinq mois de détention subis à ce jour par le prévenu demeurent proportionnés à la peine encourue concrètement en cas de condamnation pour les faits reprochés, lesquels pourraient être notamment constitutifs de vol par métier au sens de l'art. 139 ch. 2 CP. A cet égard, si elle constitue certes un indice quant à la peine encourue, la peine requise par le Ministère public n’est pas déterminante, d’autant moins en l’absence du casier judiciaire français de l’intéressé. Quoi qu’il en soit, les débats ont été fixés au 29 novembre 2022. Si la peine privative de liberté d’une année requise par le Ministère public devait être suivie par le Tribunal de police, le prévenu, incarcéré alors depuis un peu plus de huit mois, aurait encore un tiers de la peine à exécuter. Compte tenu de l’ensemble des éléments précités, sa détention pour des motifs de sûreté ne viole par conséquent pas le principe de la proportionnalité. Enfin, aucune mesure de substitution n’est à même de pallier efficacement le risque de fuite retenu.</w:t>
      </w:r>
    </w:p>
    <w:p>
      <w:r>
        <w:rPr>
          <w:b/>
        </w:rPr>
        <w:t>E. 4</w:t>
      </w:r>
    </w:p>
    <w:p>
      <w:r>
        <w:t>En définitive, le recours du Ministère public doit être admis et l’ordonnance attaquée réformée, en ce sens que la détention de U.________ pour des motifs de sûreté est ordonnée, la durée maximale de la détention provisoire étant fixée au 30 novembre 2022, soit au lendemain des débats prévus par le Tribunal de police de l’arrondissement de l’Est vaudois. Vu l’admission du recours, les frais de la procédure, constitués de l’émolument d’arrêt, par 1’100 fr. (art. 20 al. 1 TFIP [Tarif des frais de procédure et indemnités en matière pénale du 28 septembre 2010 ; BLV 312.03.1]) et des frais imputables à la défense d’office (art. 422 al. 1 et 2 let. a CPP), fixés à 396 fr. en chiffres arrondis – soit 2 heures de travail d’avocat au tarif horaire de 180 fr., par 360 fr., plus les débours forfaitaires à concurrence de 2 % (art. 3 bis al. 1 RAJ [Règlement sur l’assistance judiciaire en matière civile du 7 décembre 2010], applicable par renvoi de l’art. 26b TFIP), par 7 fr. 20, et la TVA, par 28 fr. 30 –, seront mis à la charge de U.________, qui a conclu au rejet du recours et qui succombe (art. 428 al. 1 CPP). Celui-ci ne sera toutefois tenu de rembourser à l’Etat cette indemnité que lorsque sa situation financière le permettra (art. 135 al. 4 CPP). Par ces motifs, la Chambre des recours pénale prononce : I. Le recours est admis II. L’ordonnance rendue le 22 août 2022 par le Tribunal des mesures de contrainte est réformée aux chiffres I et II de son dispositif comme il suit : « I. Ordonne la détention pour des motifs de sûreté de U.________. II. Fixe la durée maximale de la détention provisoire au 30 novembre 2022. » L’ordonnance est confirmée pour le surplus. III. L'indemnité allouée au défenseur d'office de U.________ est fixée à 396 fr. (trois cent nonante-six francs). IV. Les frais d’arrêt, par 1’100 fr. (mille cent francs), ainsi que l’indemnité due au défenseur d’office de U.________, par 396 fr. (trois cent nonante-six francs), sont mis à la charge de ce dernier. V. Le remboursement à l'Etat de l'indemnité allouée au chiffre III ci-dessus ne sera exigible que pour autant que la situation financière de U.________ le permette. VI. L’arrêt est exécutoire. La présidente :               La greffière : Du Le présent arrêt, dont la rédaction a été approuvée à huis clos, est notifié, par l'envoi d'une copie complète, à : - Me Elisabeth Chappuis, avocate (pour U.________) (et par efax), - Ministère public central (et par efax), et communiqué à : - Mme la Procureure cantonale Strada (et par efax), ‑ Mme la Présidente du Tribunal des mesures de contrainte (et par efax), - Service de la population du canton de Vaud (et par efax), - Service de la population et des migrants du canton de Fribourg (et par efax), - Prison de la Croisée (et par efax), - Tribunal de police de l’arrondissement de l’Est vaudois (et par efax),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