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664 vom 10. August 2022</w:t>
      </w:r>
    </w:p>
    <w:p>
      <w:r>
        <w:t>VD Tribunal cantonal, 2022-08-10, FR</w:t>
      </w:r>
    </w:p>
    <w:p>
      <w:r>
        <w:rPr>
          <w:b/>
        </w:rPr>
        <w:t xml:space="preserve">Quelle: </w:t>
      </w:r>
      <w:r>
        <w:t>https://mcp.opencaselaw.ch/entscheid/vd_findinfo_D_cision___2022___664</w:t>
      </w:r>
    </w:p>
    <w:p>
      <w:r>
        <w:t>FR: VD_FINDINFO Décision / 2022 / 664 du 10 août 2022</w:t>
      </w:r>
    </w:p>
    <w:p>
      <w:r>
        <w:t>IT: VD_FINDINFO Décision / 2022 / 664 del 10 agosto 2022</w:t>
      </w:r>
    </w:p>
    <w:p>
      <w:pPr>
        <w:pStyle w:val="Heading2"/>
      </w:pPr>
      <w:r>
        <w:t>Regeste</w:t>
      </w:r>
    </w:p>
    <w:p>
      <w:r>
        <w:t>RÉCUSATION, REJET DE LA DEMANDE | 56 let. f CPP (CH)</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(cf. ATF 148 IV 17, consid. 2). Conformément à l'art. 58 al. 1 CPP, la récusation doit être demandée sans délai, dès que la partie a connaissance du motif de récusation, c'est-à-dire dans les six à sept jours qui suivent la connaissance de la cause de récusation, sous peine de déchéance (ATF 140 I 271 consid. 8.4.3 et les arrêts cités, TF 1B_65/2022 du 18 mars 2022 consid. 3.1).</w:t>
      </w:r>
    </w:p>
    <w:p>
      <w:r>
        <w:rPr>
          <w:b/>
        </w:rPr>
        <w:t>E. 1.2</w:t>
      </w:r>
    </w:p>
    <w:p>
      <w:r>
        <w:t>En l’espèce, la Chambre des recours pénale du Tribunal cantonal (art. 13 al. 1 LVCPP [loi d’introduction du Code de procédure pénale suisse du 19 mai 2009 ; BLV 312.01]) est compétente pour statuer sur la demande de récusation dès lors qu’elle est dirigée contre un procureur. En outre, cette demande a été déposée le 11 juillet 2022, soit dans les quelques jours qui ont suivi la réception de l’avis du 6 juillet 2022 fondant les motifs de récusation invoqués. Elle est donc recevable.</w:t>
      </w:r>
    </w:p>
    <w:p>
      <w:r>
        <w:rPr>
          <w:b/>
        </w:rPr>
        <w:t>E. 2.1.1</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 ATF 147 I 173 consid. 5.1 ; ATF 144 I 159 consid. 4.3 ; ATF 143 IV 69 consid. 3.2 ; TF 1B_583/2019 du 17 février 2020 consid. 3.1).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TF 1B_430/2021 du 22 octobre 2021 consid. 2.1 et les réf. citées ; TF 1B_327/2020 du 30 septembre 2020 consid. 3.2 et les réf. citées).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 3.2 ; TF 1B_319/2020 du 17 novembre 2020 consid. 2.1 ; TF 6B_24/2021 du 5 février 2021 consid. 3.2).</w:t>
      </w:r>
    </w:p>
    <w:p>
      <w:r>
        <w:rPr>
          <w:b/>
        </w:rPr>
        <w:t>E. 2.1.2</w:t>
      </w:r>
    </w:p>
    <w:p>
      <w:r>
        <w:t>L’art. 352 al. 1 CPP dispose que le Ministère public rend une ordonnance pénale si, durant la procédure préliminaire, le prévenu a admis les faits ou que ceux-ci sont établis et que, incluant une éventuelle révocation d’un sursis ou d’une libération conditionnelle, il estime suffisant de prononcer une amende (let. a), une peine pécuniaire de 180 jours-amende au plus (let. b) ou une peine privative de liberté de six mois au plus (let. d). Le Ministère public n’a pas l’obligation d’entendre le prévenu avant de rendre une ordonnance pénale (TF 6B_460/2015 du 2 mars 2016 consid. 2.4 ; Gilliéron/Killias, in : Kuhn/Jeanneret [éd.], Commentaire romand, Code de procédure pénale suisse, 2 e éd., Bâle 2019, nn. 10, 11 et 18 ad art. 352 CPP). En effet, la jurisprudence part du principe que, même si le prévenu n’a pas pu avoir connaissance du dossier ou être auditionné avant la reddition d’une ordonnance pénale, son droit d’être entendu n’est pas violé puisqu’il peut, sur simple opposition, provoquer l’ouverture d’une procédure respectant ce droit (mêmes références). Bien plus, le Ministère public pouvant rendre une ordonnance pénale sous ouvrir d’instruction (art. 309 al. 4 CPP), vu le caractère sommaire de la procédure, il n’est pas nécessaire de procéder à l’administration de preuves avant de rendre une telle ordonnance (Gilliéron/Killias, op. cit., n. 11 ad art. 352 CPP et la réf. citée).</w:t>
      </w:r>
    </w:p>
    <w:p>
      <w:r>
        <w:rPr>
          <w:b/>
        </w:rPr>
        <w:t>E. 3.1</w:t>
      </w:r>
    </w:p>
    <w:p>
      <w:r>
        <w:t>En l’espèce, la requérante soutient que le Procureur N.________ a violé son devoir de réserve en forgeant son opinion sans avoir interpellé le Tribunal fédéral pour connaître le sort de la requête d’effet suspensif qu’elle avait formulée. Elle lui reproche également d’avoir retenu sa culpabilité sans avoir procédé à la moindre mesure d’instruction et sur la seule base de la plainte pénale. Elle considère enfin que le délai de vingt jours non prolongeable accordé par le procureur, notamment pour solliciter une audience, relevait d’une exigence chicanière, voir d’une pression temporelle, ne reposant sur aucun motif objectif propre à établir une quelconque urgence.</w:t>
      </w:r>
    </w:p>
    <w:p>
      <w:r>
        <w:rPr>
          <w:b/>
        </w:rPr>
        <w:t>E. 3.2</w:t>
      </w:r>
    </w:p>
    <w:p>
      <w:r>
        <w:t>Il ressort des pièces du dossier que le conseil du plaignant a affirmé qu’aucun effet suspensif n’avait été accordé par le Tribunal fédéral (P. 4). En outre, l’absence d’audition préalable de la requérante n’est pas non plus critiquable, au vu de ce qui a été exposé plus haut (cf. consid. 2.1.2 supra). L’affirmation du procureur selon laquelle les faits lui apparaissaient « clairs » correspond à la condition posée par l’art. 352 al. 1 CPP pour décerner une ordonnance pénale sur des faits suffisamment établis. On en déduit que le magistrat estimait qu’il était en mesure de rendre une ordonnance pénale mais pas que cet avis était définitif : en effet, dès lors qu’un délai était imparti à la requérante, pour notamment exposer ses arguments et déposer des réquisitions, cela impliquait que l’avis du procureur pouvait être modifié ultérieurement. Ainsi, contrairement à ce que soutient cette dernière, on ne peut déduire du courrier litigieux qui lui a été adressé le</w:t>
      </w:r>
    </w:p>
    <w:p>
      <w:r>
        <w:rPr>
          <w:b/>
        </w:rPr>
        <w:t>E. 6</w:t>
      </w:r>
    </w:p>
    <w:p>
      <w:r>
        <w:t>juillet 2022 que le procureur aurait déjà rendu une ordonnance pénale sans l’auditionner : il l’a informée qu’il se proposait de le faire et se réservait de l’entendre si elle formulait une demande écrite en ce sens. Au demeurant, conformément à ce qui a été exposé plus haut (cf. consid. 2.1.2), le Ministère public n’a pas l’obligation d’auditionner le prévenu. S’agissant du caractère prétendument « chicanier » du délai imparti durant l’été, on relève que la procédure prévue par les art. 352 ss CPP ne prévoit pas de délai avant la reddition d’une ordonnance pénale et qu’il n’y a pas de féries judiciaires en procédure pénale (art. 89 al. 2 CPP). Dès lors, le délai de 20 jours imparti à la requérante pour présenter d’éventuelles réquisitions est adéquat, sous réserve de la mention que ce délai n’était pas prolongeable, qui était peu à propos faute d’indiquer pour quel motif cette exigence était reprise (cf. art. 92 CPP). Par conséquent, l’avis du 6 juillet 2022, nonobstant le fait qu’il a suivi de peu la plainte pénale déposée par T.________, est conforme au caractère sommaire de la procédure et aux règles prévues par l’art. 352 CPP et la jurisprudence y relative. Au vu de ce qui précède, le Procureur N.________ n’a pas commis d’erreur de procédure et, a fortiori , pas d’erreurs lourdes et répétées constitutives de violations graves de ses devoirs de magistrat pouvant fonder une suspicion de partialité. Partant, le motif de récusation de l'art. 56 let. f CPP n'est manifestement pas réalisé. 4. Il résulte de ce qui précède que la demande de récusation doit être rejetée. Les frais de procédure, constitués en l’espèce du seul émolument de décision, par 880 fr. (art. 20 al. 1 TFIP [tarif des frais de procédure et indemnités en matière pénale du 28 septembre 2010 ; BLV 312.03.1]), seront mis à la charge de la requérante (art. 59 al. 4, seconde phrase, CPP). Par ces motifs, la Chambre des recours pénale prononce : I. La demande de récusation déposée par F.________ à l'encontre du Procureur N.________ est rejetée. II. Les frais de décision, par 880 fr. (huit cent huitante francs), sont mis à la charge de la requérante. III. La décision est exécutoire. La présidente :               La greffière : Du La présente décision, dont la rédaction a été approuvée à huis clos, est notifiée, par l'envoi d'une copie complète, à : - Me François Canonica, avocat (pour F.________),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