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647 vom 25. August 2022</w:t>
      </w:r>
    </w:p>
    <w:p>
      <w:r>
        <w:t>VD Tribunal cantonal, 2022-08-25, FR</w:t>
      </w:r>
    </w:p>
    <w:p>
      <w:r>
        <w:rPr>
          <w:b/>
        </w:rPr>
        <w:t xml:space="preserve">Quelle: </w:t>
      </w:r>
      <w:r>
        <w:t>https://mcp.opencaselaw.ch/entscheid/vd_findinfo_D_cision___2022___647</w:t>
      </w:r>
    </w:p>
    <w:p>
      <w:r>
        <w:t>FR: VD_FINDINFO Décision / 2022 / 647 du 25 août 2022</w:t>
      </w:r>
    </w:p>
    <w:p>
      <w:r>
        <w:t>IT: VD_FINDINFO Décision / 2022 / 647 del 25 agosto 2022</w:t>
      </w:r>
    </w:p>
    <w:p>
      <w:pPr>
        <w:pStyle w:val="Heading2"/>
      </w:pPr>
      <w:r>
        <w:t>Regeste</w:t>
      </w:r>
    </w:p>
    <w:p>
      <w:r>
        <w:t>PROLONGATION, DÉTENTION PROVISOIRE, SOUPÇON, SÛRETÉS, MESURE DE SUBSTITUTION À LA DÉTENTION, REJET DE LA DEMANDE | 221 al. 1 let. a CPP (CH), 237 CPP (CH), 238 CPP (CH)</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3.1</w:t>
      </w:r>
    </w:p>
    <w:p>
      <w:r>
        <w:t>Dans un premier grief, le recourant fait valoir que les faits tels que retenus par le Tribunal des mesures de contrainte ne correspondraient pas au dossier de la cause, en particulier aux plaintes pénales déposées par [...]. Il relève en particulier qu’il n’aurait pas été identifié sur la base d’images de vidéosurveillance dans les cas 1, 2 et 7 et que le cas 13 ne serait établi par aucune pièce au dossier. Il conteste également que le total des montants dérobés s’élève à plus de 20'000 francs. Il relève que « la peine encourue par le recourant ne sera probablement pas la même selon que les montants volés s’élèvent à 20'000 fr. ou à 10'000 francs ». Partant, il requiert que l’état de fait soit corrigé en ce sens qu’il n’est pas admis que pour les cas 1, 2 et 7 les prévenus ont été identifiés sur la base d’images de vidéosurveillance, que le cas 13 est supprimé et que les montants volés s’élèvent à un total se situant entre 8'000 et 12'000 francs.</w:t>
      </w:r>
    </w:p>
    <w:p>
      <w:r>
        <w:rPr>
          <w:b/>
        </w:rPr>
        <w:t>E. 3.2</w:t>
      </w:r>
    </w:p>
    <w:p>
      <w:r>
        <w:t>Conformément à la jurisprudence rappelée ci-dessus, il n’appartient pas au juge de la détention d’examiner en détail tous les éléments à charge et à décharge et, dans le cas particulier, de se prononcer sur chacun des 13 cas de vol qui sont reprochés au prévenu. Il apparaît toutefois que, lors de son audition du 23 juin 2022, celui-ci a largement admis les faits qui lui sont reprochés – renonçant même à ce que les différents cas qui lui sont imputés soient passés en revue –, qu’il a admis les prétentions civiles et qu’il a requis la mise en œuvre de la procédure simplifiée. Selon le tableau récapitulatif figurant au pied du rapport d’investigation déposé le 26 avril 2022 (P. 29/2), il serait impliqué dans 13 cas de vols et une tentative, pour un montant de l’ordre de 25'000 francs. A ce stade de la procédure, indépendamment des griefs soulevés par la défense en relation avec les cas 1, 2, 7 et 13 reproduits dans l’ordonnance du Tribunal des mesures de contrainte, les éléments au dossier et les aveux du prévenu apparaissent suffisants pour retenir l’existence de soupçons suffisants de la commission de l’infraction de vols par métier. Enfin, il n’y a pas lieu de s’attarder sur la détermination du total des montants dérobés, dès lors que cet élément n’est pas pertinent pour déterminer s’il existe des soupçons suffisants au sens de l’art. 221 al. 1 CPP.</w:t>
      </w:r>
    </w:p>
    <w:p>
      <w:r>
        <w:rPr>
          <w:b/>
        </w:rPr>
        <w:t>E. 4.1</w:t>
      </w:r>
    </w:p>
    <w:p>
      <w:r>
        <w:t>Le recourant conteste l’existence d’un risque de fuite. Il fait valoir qu’il est au bénéfice d’une promesse d’embauche au Luxembourg. Il ajoute qu’il n’aurait aucun intérêt à se soustraire à la procédure pénale puisque la procédure simplifiée – à laquelle il a consenti – est à son avantage, qu’il a admis les faits qui lui sont reprochés dès son audition d’arrestation et qu’il n’y a pas la moindre raison de croire qu’il prendrait la fuite à ce stade de la procédure. Il rappelle qu’il a déjà exécuté huit mois de détention provisoire – soit une durée qu’il estime proche de celle susceptible d’être prononcée – et pour laquelle il pourra, toujours selon lui, sans nul doute être mis au bénéfice du sursis. Enfin, il précise qu’il n’est pas séparé, mais divorcé de son épouse.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r>
        <w:rPr>
          <w:b/>
        </w:rPr>
        <w:t>E. 4.3</w:t>
      </w:r>
    </w:p>
    <w:p>
      <w:r>
        <w:t>Le recourant n’a aucune attache en Suisse. Ressortissant du Portugal, il est né dans ce pays, y a fait ses écoles, y a travaillé et y résidait avant son arrestation. Il est père de deux enfants de 18 ans et de 8 ans qui vivent en France. Sa nouvelle amie vit au Brésil. Les membres de sa famille résident dans différents pays d’Europe. Au vu de ces éléments, le fait qu’il serait maintenant divorcé n’a aucune incidence dans le cadre de l’évaluation du risque de fuite dans la mesure où cet élément ne modifie pas le fait que rien ne retient le recourant en Suisse où aucun membre de sa famille ni aucun proche ne réside. Le fait qu’une procédure simplifiée soit initiée et que le recourant semble espérer dans ce cadre une peine plus clémente n’y change rien, car ce fait n’implique pas que le recourant reviendra en Suisse participer à cette procédure, voire purger un éventuel solde de peine s’il était libéré, étant rappelé qu’il envisage de se rendre au Luxembourg dès sa sortie de détention. Tout bien considéré, le risque de fuite est donc concret et justifie le maintien du recourant en détention provisoire.</w:t>
      </w:r>
    </w:p>
    <w:p>
      <w:r>
        <w:rPr>
          <w:b/>
        </w:rPr>
        <w:t>E. 5.1</w:t>
      </w:r>
    </w:p>
    <w:p>
      <w:r>
        <w:t>A titre subsidiaire, le recourant requiert le prononcé d’une mesure de substitution en la forme de dépôt de sûretés, que son frère, domicilié au Luxembourg, semble disposé à lui avancer.</w:t>
      </w:r>
    </w:p>
    <w:p>
      <w:r>
        <w:rPr>
          <w:b/>
        </w:rPr>
        <w:t>E. 5.2</w:t>
      </w:r>
    </w:p>
    <w:p>
      <w:r>
        <w:t>Conformément au principe de la proportionnalité (art. 36 al. 3 Cst.), il convient d'examiner les possibilités de mettre en œuvre d'autres solutions moins dommageables que la détention, qui représente l'ultima ratio (ATF 141 IV 190 consid. 3.1 ;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Selon l’art. 238 al. 1 CPP,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1B_569/2021 du 4 novembre 2021 consid. 3.1 ; TF 1B_274/2014 du 26 août 2014 consid. 3.3 ; TF 1P.165/2006 du 19 avril 2006 consid. 3.2.1, in SJ 2006 I). Il convient également de faire preuve de prudence quant à l'origine des fonds proposés comme sûretés (TF 1B_42/2015 du 16 février 2015 consid. 2.3 ; TF 1B_576/2012 du 19 octobre 2012 consid. 5.3 et les références citées).</w:t>
      </w:r>
    </w:p>
    <w:p>
      <w:r>
        <w:rPr>
          <w:b/>
        </w:rPr>
        <w:t>E. 5.3</w:t>
      </w:r>
    </w:p>
    <w:p>
      <w:r>
        <w:t>Même si le versement par son frère des sûretés est susceptible de constituer un sacrifice important pour celui-ci, il ne permet pas de pallier efficacement le risque de fuite, dans la mesure où ce n’est pas le recourant lui-même qui procède au paiement et que l’on ne dispose pas, en l’état, des informations nécessaires pour procéder à un examen approfondi de la situation conforme à la jurisprudence. On ignore en particulier tout du lien existant entre le recourant et son frère ou de la situation financière de ce dernier. Partant cette mesure n’est pas propre à pallier le risque de fuite retenu. Pour le surplus, aucune autre mesure de substitution n’apparaît adéquate pour atteindre cet objectif et le recourant n’en propose d’ailleurs pas d’autre.</w:t>
      </w:r>
    </w:p>
    <w:p>
      <w:r>
        <w:rPr>
          <w:b/>
        </w:rPr>
        <w:t>E. 6.1</w:t>
      </w:r>
    </w:p>
    <w:p>
      <w:r>
        <w:t>Le recourant invoque enfin une violation du principe de proportionnalité au vu de la peine qui pourrait être prononcée contre lui, étant tenu notamment compte de sa collaboration à l’enquête, de son absence d’antécédent et de l’octroi probable d’un sursis.</w:t>
      </w:r>
    </w:p>
    <w:p>
      <w:r>
        <w:rPr>
          <w:b/>
        </w:rPr>
        <w:t>E. 6.2</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pour entrer en considération sur cette dernière hypothèse, son octroi doit être d'emblée évident (TF 1B_185/2020 du 29 avril 2020 consid. 4.1 et l'arrêt cité). Selon la jurisprudence,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consid. 3.5).</w:t>
      </w:r>
    </w:p>
    <w:p>
      <w:r>
        <w:rPr>
          <w:b/>
        </w:rPr>
        <w:t>E. 6.3</w:t>
      </w:r>
    </w:p>
    <w:p>
      <w:r>
        <w:t>Le recourant, qui est incarcéré depuis le 14 décembre 2021, soit depuis un peu plus de huit mois, s’expose à une peine privative de liberté supérieure à la détention provisoire subie au vu du nombre de vols qui lui sont reprochés et du butin qui aurait été réalisé selon le rapport d’investigation. On soulignera à ce stade que les dénégations du recourant quant au montant du butin sont contraires aux éléments du dossier et qu’il n’appartient pas au juge de la détention de se prononcer sur ce point. Ainsi, considérant les infractions reprochées et l’importance du préjudice tel qu’il ressort du dossier et, en particulier du rapport d’investigation, le principe de proportionnalité demeure donc respecté, même en tenant compte de la prolongation requise. Enfin, on rappellera que pour éviter d’empiéter sur les compétences du juge du fond, il n’y a pas lieu de tenir compte de l’éventuel octroi d’un sursis.</w:t>
      </w:r>
    </w:p>
    <w:p>
      <w:r>
        <w:rPr>
          <w:b/>
        </w:rPr>
        <w:t>E. 7</w:t>
      </w:r>
    </w:p>
    <w:p>
      <w:r>
        <w:t>En définitive, le recours, manifestement mal fondé, doit être rejeté sans échange d'écritures (art. 390 al. 2 CPP) et l'ordonnance attaquée confirmée. Les frais de la procédure de recours sont constitués de l'émolument d'arrêt, par 1’540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w:t>
      </w:r>
    </w:p>
    <w:p>
      <w:r>
        <w:rPr>
          <w:b/>
        </w:rPr>
        <w:t>E. 10</w:t>
      </w:r>
    </w:p>
    <w:p>
      <w:r>
        <w:t>fr. 80, et la TVA, par 42 fr. 40, soit à 594 fr.au total, en chiffres arrondis. Vu l’issue de la cause, ces frais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août 2022 est confirmée. III. L’indemnité allouée à Me Karine Stewart Harris, défenseur d’office de X.________, est arrêtée à 594 fr. (cinq cent nonante-quatre francs). IV. Les frais d'arrêt, par 1’540 fr. (mille cinq cent quarante francs), ainsi que l'indemnité allouée à Me Karine Stewart Harris,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Karine Stewart Harris, avocate (pour X.________) , - Ministère public central, et communiqué à : ‑ Mme la Présidente du Tribunal des mesures de contrainte, - M. le Procureur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