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616 vom 12. August 2022</w:t>
      </w:r>
    </w:p>
    <w:p>
      <w:r>
        <w:t>VD Tribunal cantonal, 2022-08-12, FR</w:t>
      </w:r>
    </w:p>
    <w:p>
      <w:r>
        <w:rPr>
          <w:b/>
        </w:rPr>
        <w:t xml:space="preserve">Quelle: </w:t>
      </w:r>
      <w:r>
        <w:t>https://mcp.opencaselaw.ch/entscheid/vd_findinfo_D_cision___2022___616</w:t>
      </w:r>
    </w:p>
    <w:p>
      <w:r>
        <w:t>FR: VD_FINDINFO Décision / 2022 / 616 du 12 août 2022</w:t>
      </w:r>
    </w:p>
    <w:p>
      <w:r>
        <w:t>IT: VD_FINDINFO Décision / 2022 / 616 del 12 agosto 2022</w:t>
      </w:r>
    </w:p>
    <w:p>
      <w:pPr>
        <w:pStyle w:val="Heading2"/>
      </w:pPr>
      <w:r>
        <w:t>Regeste</w:t>
      </w:r>
    </w:p>
    <w:p>
      <w:r>
        <w:t>RISQUE DE FUITE, RISQUE DE RÉCIDIVE, SOUPÇON, MESURE DE SUBSTITUTION À LA DÉTENTION, PROPORTIONNALITÉ | 212 al. 3 CPP (CH), 221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et par un détenu qui a la qualité pour recourir (art. 382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w:t>
      </w:r>
    </w:p>
    <w:p>
      <w:r>
        <w:t>Le recourant conteste en premier lieu l’existence de soupçons suffisants à son encontre. Il soutient que ses explications seraient crédibles, aucun élément au dossier ne permettant de les remettre en cause. Il expose également qu’il ressortirait du registre RIPOL que le jugement du 2 février 2022 ne lui aurait pas été notifié.</w:t>
      </w:r>
    </w:p>
    <w:p>
      <w:r>
        <w:rPr>
          <w:b/>
        </w:rPr>
        <w:t>E. 3.1</w:t>
      </w:r>
    </w:p>
    <w:p>
      <w:r>
        <w:t>Une mesure de détention provisoire ou pour des motifs de sûreté n’est compatible avec la liberté personnelle (art. 10 al. 2 Cst. [Constitution fédérale de la Confédération suisse du 18 avril 1999 ; RS 101) et 5 CEDH [Convention de sauvegarde des droits de l’Homme et des libertés fondamentales conclue à Rome le 4 novembre 1950 ; RS 0.101]) que si elle repose sur une base légale (art. 31 all. 1 et 36 al. 1 Cst.), soit en l’espèce, l’art. 221 CPP. Elle doit en outre correspondre à un intérêt public et respecter le principe de proportionnalité (art. 36 al. 2 et 3 Cst. et 197 al. 1 CPP).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 art. 5 par. 1 let. c CEDH ; ATF 139 IV 186 consid. 2 et les arrêts cités). Ainsi, selon l’art. 221 al. 1 CPP, la détention provisoire suppose que le prévenu est fortement soupçonné d’avoir commis un crime ou un délit. Selon la jurisprudence,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 de l’instruction pénale. Si des soupçons, même encore peu précis, peuvent être suffisants dans les premiers temps de l’enquête, la perspective d’une condamnation doit apparaître avec une certaine vraisemblance après l’instruction des actes d’instruction envisageables (ATF 143 IV 330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1B_145/2019 du 26 avril 2019 consid. 3.1).</w:t>
      </w:r>
    </w:p>
    <w:p>
      <w:r>
        <w:rPr>
          <w:b/>
        </w:rPr>
        <w:t>E. 3.2</w:t>
      </w:r>
    </w:p>
    <w:p>
      <w:r>
        <w:t>En l’espèce, le recourant a été appréhendé à bord du train Annemasse-Vevey, à la hauteur de Lausanne, en possession de 547,9 grammes de cocaïne conditionnés en 28 petits fingers et un gros, soit une quantité nette de l’ordre de 290 grammes. Ses explications selon lesquelles un inconnu aurait glissé dans son sac de la drogue alors qu’il se rendait aux toilettes ne sont aucunement crédibles, dans la mesure où il a déjà été condamné à deux reprises pour des infractions à la Loi fédérale sur les stupéfiants, dont la dernière fois à une peine privative de liberté de 24 mois en février 2022. Au demeurant, il a admis que les 5 cartes SIM retrouvées en sa possession lui appartenaient, et il est usuel que les trafiquants de drogue utilisent plusieurs numéros de téléphone. Enfin, le fait que l’intéressé se soit opposé à son identification et au contrôle de ses effets personnels – étant précisé qu’il ressort du rapport des douanes du 26 juillet 2022 qu’il a continué à résister jusqu’à quai et que son comportement a nécessité de faire appel à la gendarmerie en renfort, et de le menotter de force – indique qu’il savait avoir quelque chose à se reprocher, ce qui met à néant les explications fantaisistes précitées. Il s’ensuit qu’il existe des soupçons suffisants de la commission d’une infraction grave à la Loi fédérale sur les stupéfiants, sans que besoin soit encore d’examiner si le recourant avait eu ou non connaissance du jugement du 2 février 2022. L’extrait du casier judiciaire mentionne toutefois que ledit jugement lui a été communiqué le jour même, de sorte que l’explication fournie à cet égard tombe à faux.</w:t>
      </w:r>
    </w:p>
    <w:p>
      <w:r>
        <w:rPr>
          <w:b/>
        </w:rPr>
        <w:t>E. 4</w:t>
      </w:r>
    </w:p>
    <w:p>
      <w:r>
        <w:t>Le recourant conteste l’existence d’un risque de réitération, invoquant qu’il avait déjà été averti lors d’une précédente audition de police et qu’il avait promis de ne pas récidiver à cette occasion.</w:t>
      </w:r>
    </w:p>
    <w:p>
      <w:r>
        <w:rPr>
          <w:b/>
        </w:rPr>
        <w:t>E. 4.1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Elle peut donc également se produire en cas d’infractions graves en matière de stupéfiants.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1B_182/2020 du 4 mai 2020 consid. 5.1).</w:t>
      </w:r>
    </w:p>
    <w:p>
      <w:r>
        <w:rPr>
          <w:b/>
        </w:rPr>
        <w:t>E. 4.2</w:t>
      </w:r>
    </w:p>
    <w:p>
      <w:r>
        <w:t>En l’espèce, il y a lieu de relever que le trafic reproché au prévenu dans le cadre de la présente procédure, qui porte sur une quantité de 547,9 grammes bruts de cocaïne, doit être qualifié de grave. La mise en danger de la sécurité publique, en cas de récidive, est donc réelle, le seuil limite du cas grave au sens de l’art. 19 al. 2 let. a LStup (18 grammes purs en matière de cocaïne ; ATF 145 IV 312) étant très largement dépassé. Au vu des antécédents du recourant en matière de stupéfiants, soit deux condamnations depuis 2019, le risque de réitération est concret. Au demeurant, sa dernière condamnation, très récente, à une peine privative de liberté de 24 mois assortie du sursis partiel et d’une expulsion du territoire suisse, ne l’a pas dissuadé de récidiver, ce qui rend le risque de récidive encore plus concret. Les éléments qui précédent commandent donc de poser un pronostic résolument défavorable quant au comportement futur de l’intéressé. Le risque de récidive est donc suffisamment concret pour justifier la détention provisoire et c’est ainsi à juste titre que le Tribunal des mesures de contrainte a retenu l’existence de ce risque.</w:t>
      </w:r>
    </w:p>
    <w:p>
      <w:r>
        <w:rPr>
          <w:b/>
        </w:rPr>
        <w:t>E. 5</w:t>
      </w:r>
    </w:p>
    <w:p>
      <w:r>
        <w:t>Le recourant conteste l’existence d’un risque de fuite, exposant notamment qu’il a des connaissances en Suisse et qu’il n’a pas été interrogé sur ses relations en Italie. Il soutient également n’avoir aucune raison de fuir, puisqu’il n’aurait rien à se reprocher, ayant contesté toute infraction.</w:t>
      </w:r>
    </w:p>
    <w:p>
      <w:r>
        <w:rPr>
          <w:b/>
        </w:rPr>
        <w:t>E. 5.1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rPr>
          <w:b/>
        </w:rPr>
        <w:t>E. 5.2</w:t>
      </w:r>
    </w:p>
    <w:p>
      <w:r>
        <w:t>En l’espèce, le recourant est ressortissant nigérian et a de la famille dans son pays d’origine, où vit par ailleurs son épouse, qui serait enceinte. Surtout, il possède un titre de séjour valable en Italie, où il est domicilié, et où il a travaillé. Partant, compte tenu du fait qu’il s’expose, en cas de condamnation, à une lourde peine privative de liberté – cette fois-ci entièrement ferme au vu de ses antécédents –, il y a à craindre qu’il reparte dans son pays d’origine, ou de domicile, voire disparaisse dans la clandestinité, pour se soustraire à sa responsabilité pénale. A cela s’ajoute qu’il n’a pas le droit de demeurer en Suisse, puisqu’il fait l’objet d’une expulsion judiciaire. Le fait qu’il ait des connaissances en Suisse, voire qu’il n’en ait éventuellement pas en Italie, n’y change rien. Le recourant ne saurait en outre prétendre que le risque de fuite serait inexistant au motif qu’il n’aurait rien à se reprocher, compte tenu des lourds soupçons qui pèsent contre lui. Le risque de fuite est donc également concret et justifie de la même manière la détention provisoire.</w:t>
      </w:r>
    </w:p>
    <w:p>
      <w:r>
        <w:rPr>
          <w:b/>
        </w:rPr>
        <w:t>E. 6</w:t>
      </w:r>
    </w:p>
    <w:p>
      <w:r>
        <w:t>Les conditions de l’art. 221 al. 1 CPP étant alternatives (TF 1B_192/2022 du 12 mai 2022 consid. 4.1.2), l’existence des risques de réitération et de fuite dispense la Chambre de céans d’examiner si la détention provisoire s’impose également en raison d’un risque de collusion. Il est toutefois précisé que ce risque paraît en l’état également clairement réalisé au vu du stade très précoce de l’enquête et des mesures d’instruction en cours, notamment l’analyse des données téléphoniques du recourant, et des auditions qui s’ensuivront inévitablement, afin de déterminer s’il est impliqué dans un trafic de grande ampleur impliquant d’autres personnes, qu’il ne doit dès lors à l’évidence pas pouvoir contacter.</w:t>
      </w:r>
    </w:p>
    <w:p>
      <w:r>
        <w:rPr>
          <w:b/>
        </w:rPr>
        <w:t>E. 7</w:t>
      </w:r>
    </w:p>
    <w:p>
      <w:r>
        <w:t>Le recourant invoque enfin une violation du principe de la proportionnalité. Il soutient, sans expliquer en quoi, que la durée de la détention provisoire serait « totalement disproportionnée », et ce d’autant que le Ministère public serait d’ores et déjà en possession des éléments nécessaires à la poursuite de son investigation. Subsidiairement, il demande à être mis au bénéfice de mesures de substitution à la détention, sous la forme d’une assignation à résidence chez un ami à Lucerne, avec contrôle par des moyens techniques et saisie de ses documents d’identité.</w:t>
      </w:r>
    </w:p>
    <w:p>
      <w:r>
        <w:rPr>
          <w:b/>
        </w:rPr>
        <w:t>E. 7.1.1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 La jurisprudence considère qu'aucune mesure de substitution (dépôt des papiers d'identité, assignation à résidence assortie du port d'un bracelet électronique, obligation de se présenter) n'est suffisamment efficace pour prévenir un risque sérieux de départ à l'étranger ou d'entrée dans la clandestinité (ATF 145 IV 503 consid. 3.3.1 ; TF 1B_228/2022 du 20 mai 2022 consid. 5.2 ; TF 1B_158/2021 du 20 avril 2021 consid. 3.5; TF 1B_220/2020 du 26 mai 2020 consid. 5.2)</w:t>
      </w:r>
    </w:p>
    <w:p>
      <w:r>
        <w:rPr>
          <w:b/>
        </w:rPr>
        <w:t>E. 7.1.2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7.2</w:t>
      </w:r>
    </w:p>
    <w:p>
      <w:r>
        <w:t>La Chambre de céans considère, à l’instar du Tribunal des mesures de contrainte, que les mesures de substitution proposées par le recourant ne sont pas susceptibles de prévenir efficacement les risques constatés et qu’aucune autre mesure n’est à même de les pallier valablement. Conformément à la jurisprudence précitée (cf. en dernier lieu TF 1B_228/2022 du 20 mai 2022 consid. 5.2 et les références citées), le dépôt des papiers d'identité, l’assignation à résidence assortie du port d'un bracelet électronique et l’obligation de se présenter régulièrement à une autorité, ne sont pas aptes à palier le risque de fuite. Elles le sont du reste encore moins lorsqu’un risque de fuite est à craindre à l’intérieur de l’espace Schengen (cf. p. ex. CREP 4 juillet 2022/491). Pour le surplus, on ne voit pas en quoi les mesures proposées seraient susceptibles de faire obstacle au risque de réitération retenu.</w:t>
      </w:r>
    </w:p>
    <w:p>
      <w:r>
        <w:rPr>
          <w:b/>
        </w:rPr>
        <w:t>E. 7.3</w:t>
      </w:r>
    </w:p>
    <w:p>
      <w:r>
        <w:t>Pour le surplus, le recourant s’expose concrètement, au regard des faits qui lui sont reprochés, à une peine privative de liberté d’une durée nettement supérieure à la période de détention provisoire qu’il a subie à ce jour, respectivement qu’il aura subie le 26 octobre 2022, l’art. 19 al. 2 CPP prévoyant une peine privative de liberté d’un an au moins, de sorte que le principe de la proportionnalité est pleinement respecté.</w:t>
      </w:r>
    </w:p>
    <w:p>
      <w:r>
        <w:rPr>
          <w:b/>
        </w:rPr>
        <w:t>E. 8</w:t>
      </w:r>
    </w:p>
    <w:p>
      <w:r>
        <w:t>Au vu de ce qui précède que le recours, manifestement mal fondé, doit être rejeté sans échange d’écritures (art. 390 al. 2 CPP) et l’ordonnance du 29 juillet 2022 confirmée. Vu le sort du recours, les frais de la présente procédure, constitués de l’émolument d’arrêt, par 1'320 fr. (art. 20 al. 1 TFIP [tarif des frais de procédure et indemnités en matière pénale du 28 septembre 2010 ; BLV 312.03.1]), ainsi que des frais imputables à la défense d’office (art. 422 al. 1 et 2 let. a CPP), fixés à 450 fr. sur la base d’une activité d’avocat – au sujet de laquelle on peut se poser la question de la nécessité, l’acte de recours se situant à la limite de la témérité, mais qui sera admise pour cette fois – de deux heures et demie au tarif horaire de 180 fr., auxquels il convient d’ajouter des débours forfaitaires à concurrence de 2 % (art. 2 al. 1 let. a et 3 bis al. 1 RAJ [règlement sur l’assistance judiciaire en matière civile du 7 décembre 2010 ; BLV 211.02.3], applicables par renvoi de l’art. 26 b TFIP), par</w:t>
      </w:r>
    </w:p>
    <w:p>
      <w:r>
        <w:rPr>
          <w:b/>
        </w:rPr>
        <w:t>E. 9</w:t>
      </w:r>
    </w:p>
    <w:p>
      <w:r>
        <w:t>fr., et la TVA sur le tout, par 35 fr. 35, soit à 495 fr. au total en chiffres arrondis, seront mis à la charge de Y.________, qui succombe (art. 428 al. 1 CPP). Le remboursement à l’Etat de l’indemnité allouée au défenseur d’office de Y.________ ne sera exigible de ce dernier que pour autant que sa situation financière le permette (art. 135 al. 4 CPP). Par ces motifs, la Chambre des recours pénale prononce : I. Le recours est rejeté. II. L’ordonnance du 29 juillet 2022 est confirmée. III. L’indemnité allouée à Me Joana Azevedo, défenseur d’office de Y.________, est fixée à 495 fr. (quatre cent nonante-cinq francs). IV. Les frais d’arrêt, par 1’320 fr. (mille trois cent vingt francs), ainsi que l’indemnité allouée à Me Joana Azevedo, par 495 fr. (quatre cent nonante-cinq francs), sont mis à la charge de Y.________. V. Le remboursement à l’Etat de l’indemnité allouée sous chiffre III ci-dessus ne sera exigible de Y.________ que pour autant que sa situation financière le permette. VI. L’arrêt est exécutoire. La présidente :               Le greffier : Du Le présent arrêt, dont la rédaction a été approuvée à huis clos, est notifié, par l'envoi d'une copie complète, à : - Me Joana Azevedo, avocate (pour Y.________), - Ministère public central, et communiqué à : ‑ Mme la Présidente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