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593 vom 9. August 2022</w:t>
      </w:r>
    </w:p>
    <w:p>
      <w:r>
        <w:t>VD Tribunal cantonal, 2022-08-09, FR</w:t>
      </w:r>
    </w:p>
    <w:p>
      <w:r>
        <w:rPr>
          <w:b/>
        </w:rPr>
        <w:t xml:space="preserve">Quelle: </w:t>
      </w:r>
      <w:r>
        <w:t>https://mcp.opencaselaw.ch/entscheid/vd_findinfo_D_cision___2022___593</w:t>
      </w:r>
    </w:p>
    <w:p>
      <w:r>
        <w:t>FR: VD_FINDINFO Décision / 2022 / 593 du 9 août 2022</w:t>
      </w:r>
    </w:p>
    <w:p>
      <w:r>
        <w:t>IT: VD_FINDINFO Décision / 2022 / 593 del 9 agosto 2022</w:t>
      </w:r>
    </w:p>
    <w:p>
      <w:pPr>
        <w:pStyle w:val="Heading2"/>
      </w:pPr>
      <w:r>
        <w:t>Regeste</w:t>
      </w:r>
    </w:p>
    <w:p>
      <w:r>
        <w:t>REJET DE LA DEMANDE, DEMANDE ADRESSÉE À L'AUTORITÉ, RÉCUSATION | 56 let. b CPP (CH), 56 let. f CPP (CH)</w:t>
      </w:r>
    </w:p>
    <w:p>
      <w:pPr>
        <w:pStyle w:val="Heading2"/>
      </w:pPr>
      <w:r>
        <w:t>Erwägungen</w:t>
      </w:r>
    </w:p>
    <w:p>
      <w:r>
        <w:rPr>
          <w:b/>
        </w:rPr>
        <w:t>E. 1.1</w:t>
      </w:r>
    </w:p>
    <w:p>
      <w:r>
        <w:t>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dès lors qu’elle est dirigée contre le Procureur général du Canton de Vaud, premier magistrat du Ministère public. Cette demande a été faite en temps utile, soit dans les jours qui ont suivi l’avis du 4 juillet 2022 du Procureur général. En revanche, la demande de récusation du 6 août 2022, déposée contre une série de magistrats non précisés, est tardive et, partant, irrecevable.</w:t>
      </w:r>
    </w:p>
    <w:p>
      <w:r>
        <w:rPr>
          <w:b/>
        </w:rPr>
        <w:t>E. 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Tel n’est pas le cas, notamment, des juges d'appel qui ont à examiner à nouveau l'affaire qu'ils ont renvoyée à l'autorité inférieure ou du juge qui tranche plusieurs recours subséquents ou concomitants (ATF 143 IV 69 consid. 3.1 p. 73 s. et les arrêts cités). La garantie du juge impartial ne commande pas non plus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précité; ATF 129 III 445 consid. 4.2.2.2; TF 1B_25/2022 du 18 mai 2022 consid. 2.1; TF 1B_381/2021 du 25 août 2021 consid. 2).</w:t>
      </w:r>
    </w:p>
    <w:p>
      <w:r>
        <w:rPr>
          <w:b/>
        </w:rPr>
        <w:t>E. 2.2</w:t>
      </w:r>
    </w:p>
    <w:p>
      <w:r>
        <w:t>L'art. 56 let. f CPP dispose qu'un magistrat peut être récusé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a à e de l'art. 56 CPP. Elle correspond à la garantie d'un tribunal indépendant et impartial instituée par les art. 30 al. 1 Cst et</w:t>
      </w:r>
    </w:p>
    <w:p>
      <w:r>
        <w:rPr>
          <w:b/>
        </w:rPr>
        <w:t>E. 6</w:t>
      </w:r>
    </w:p>
    <w:p>
      <w:r>
        <w:t>août 2022, selon laquelle la prise de position du Procureur général du 29 juillet 2022 ne mentionnait pas certains éléments en lien avec une enquête parlementaire, on ne voit pas sa pertinence avec la présente procédure de récusation, et le requérant ne l’expose pas de manière intelligible. Pour le reste, le requérant n’allègue aucun fait à l’appui de son moyen selon lequel le Procureur général du Canton de Vaud n’est pas indépendant. Le dossier ne comporte aucun élément en ce sens. 4. Il résulte de ce qui précède que les demandes de récusation déposées les 14 juillet et 6 août 2022 doivent être rejetées dans la mesure où elles sont recevables. Les frais de la présente procédure, constitués en l’espèce du seul émolument de décision, par 660 fr. (art. 20 al. 1 TFIP [Tarif des frais de procédure et indemnités en matière pénale du 28 septembre 2010; BLV 312.03.1]), seront mis à la charge du requérant, qui succombe (art. 59 al. 4 CPP). Par ces motifs, la Chambre des recours pénale prononce : I. Les demandes de récusation déposées les 14 juillet et 6 août 2022 par A.________ à l'encontre du Procureur général du Canton de Vaud et d’autres magistrats sont rejetées dans la mesure où elles sont recevables. II. Les frais de décision, par 660 fr. (six cent soixante francs), sont mis à la charge de A.________. III. La décision est exécutoire. La présidente :               Le greffier : Du La présente décision, dont la rédaction a été approuvée à huis clos, est notifiée, par l'envoi d'une copie complète, à : - M. A.________, - M. le Procureur général du Canton de Vaud. La présente décision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