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59 vom 27. Januar 2022</w:t>
      </w:r>
    </w:p>
    <w:p>
      <w:r>
        <w:t>VD Tribunal cantonal, 2022-01-27, FR</w:t>
      </w:r>
    </w:p>
    <w:p>
      <w:r>
        <w:rPr>
          <w:b/>
        </w:rPr>
        <w:t xml:space="preserve">Quelle: </w:t>
      </w:r>
      <w:r>
        <w:t>https://mcp.opencaselaw.ch/entscheid/vd_findinfo_D_cision___2022___59</w:t>
      </w:r>
    </w:p>
    <w:p>
      <w:r>
        <w:t>FR: VD_FINDINFO Décision / 2022 / 59 du 27 janvier 2022</w:t>
      </w:r>
    </w:p>
    <w:p>
      <w:r>
        <w:t>IT: VD_FINDINFO Décision / 2022 / 59 del 27 gennaio 2022</w:t>
      </w:r>
    </w:p>
    <w:p>
      <w:pPr>
        <w:pStyle w:val="Heading2"/>
      </w:pPr>
      <w:r>
        <w:t>Regeste</w:t>
      </w:r>
    </w:p>
    <w:p>
      <w:r>
        <w:t>DÉCISION D'IRRECEVABILITÉ, MOTIVATION DE LA DEMANDE, SORTIE, EXÉCUTION DES PEINES ET DES MESURES | 38 LEP, 385 al. 1 CPP (CH)</w:t>
      </w:r>
    </w:p>
    <w:p>
      <w:pPr>
        <w:pStyle w:val="Heading2"/>
      </w:pPr>
      <w:r>
        <w:t>Erwägungen</w:t>
      </w:r>
    </w:p>
    <w:p>
      <w:r>
        <w:rPr>
          <w:b/>
        </w:rPr>
        <w:t>E. 1.1</w:t>
      </w:r>
    </w:p>
    <w:p>
      <w:r>
        <w:t>Selon l'art. 38 al. 1 LEP (loi vaudoise sur l'exécution des condamnations pénales du 4 juillet 2006 ; BLV 340.01), peuvent notamment faire l'objet d'un recours au Tribunal cantonal les décisions rendues par l'Office d'exécution des peines. Aux termes de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al. 1 let. d LOJV [loi vaudoise d’organisation judiciaire du 12 décembre 1979 ; BLV 173.01]).</w:t>
      </w:r>
    </w:p>
    <w:p>
      <w:r>
        <w:rPr>
          <w:b/>
        </w:rPr>
        <w:t>E. 1.2</w:t>
      </w:r>
    </w:p>
    <w:p>
      <w:r>
        <w:t>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22 juin 2020/479 consid. 1.3). Dans le canton de Vaud, la langue de la procédure est le français (art. 16 LVCPP).</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29 novembre 2021/1086 ; CREP 23 juillet 2021/677).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 e éd. 2020, n. 14 ad art. 396 StPO et les références citées ; Calame, in : Jeanneret et al. [éd.], Commentaire romand, Code de procédure pénale suisse,</w:t>
      </w:r>
    </w:p>
    <w:p>
      <w:r>
        <w:rPr>
          <w:b/>
        </w:rPr>
        <w:t>E. 1.3.2</w:t>
      </w:r>
    </w:p>
    <w:p>
      <w:r>
        <w:t>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w:t>
      </w:r>
    </w:p>
    <w:p>
      <w:r>
        <w:rPr>
          <w:b/>
        </w:rPr>
        <w:t>E. 2</w:t>
      </w:r>
    </w:p>
    <w:p>
      <w:r>
        <w:t>En l’espèce, la recevabilité de l’acte de recours sous l’angle du respect du délai de recours et de la langue de la procédure peut demeurer indécise dès lors que le recours doit de toute manière être déclaré irrecevable, faute de satisfaire aux exigences de motivation de l’art. 385 al. 1 CPP. En effet, dans son acte, U.________ se contente d’indiquer qu’il ignore ce qu’il a fait pour mériter un tel traitement et un tel refus et qu’il attend que les autorités le renseignent sur ce qu’il a fait exactement pour justifier ce refus. Ce faisant, il ne prend aucunement appui sur la motivation de la décision attaquée et ne critique pas l’argumentation – pourtant claire – de l’Office d’exécution des peines. Cet écrit ne permet dès lors pas de comprendre les motifs qui commanderaient une autre décision, de sorte que le recours ne satisfait pas aux exigences de motivation de l'art. 385 al. 1 CPP. Un tel défaut de motivation ne saurait justifier qu'un délai supplémentaire soit fixé au recourant pour compléter son acte en application de l'art. 385 al. 2 CPP.</w:t>
      </w:r>
    </w:p>
    <w:p>
      <w:r>
        <w:rPr>
          <w:b/>
        </w:rPr>
        <w:t>E. 3</w:t>
      </w:r>
    </w:p>
    <w:p>
      <w:r>
        <w:t>Il résulte de ce qui précède que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660 fr. (six cent soixante francs), sont laissés à la charge de l’Etat. III. L’arrêt est exécutoire. La présidente :               La greffière : Du Le présent arrêt, dont la rédaction a été approuvée à huis clos, est notifié, par l'envoi d'une copie complète, à : - M. U.________, (et par efax), - Ministère public central, (et par efax), et communiqué à : ‑ Office d’exécution des peines, (et par efax), - Direction des Etablissements de la Plaine de l’Orbe,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