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589 vom 4. August 2022</w:t>
      </w:r>
    </w:p>
    <w:p>
      <w:r>
        <w:t>VD Tribunal cantonal, 2022-08-04, FR</w:t>
      </w:r>
    </w:p>
    <w:p>
      <w:r>
        <w:rPr>
          <w:b/>
        </w:rPr>
        <w:t xml:space="preserve">Quelle: </w:t>
      </w:r>
      <w:r>
        <w:t>https://mcp.opencaselaw.ch/entscheid/vd_findinfo_D_cision___2022___589</w:t>
      </w:r>
    </w:p>
    <w:p>
      <w:r>
        <w:t>FR: VD_FINDINFO Décision / 2022 / 589 du 4 août 2022</w:t>
      </w:r>
    </w:p>
    <w:p>
      <w:r>
        <w:t>IT: VD_FINDINFO Décision / 2022 / 589 del 4 agosto 2022</w:t>
      </w:r>
    </w:p>
    <w:p>
      <w:pPr>
        <w:pStyle w:val="Heading2"/>
      </w:pPr>
      <w:r>
        <w:t>Regeste</w:t>
      </w:r>
    </w:p>
    <w:p>
      <w:r>
        <w:t>SÉQUESTRE{MESURE PROVISIONNELLE}, PREUVE ILLICITE, APPAREIL DE PRISE DE VUE ET/OU D'ENREGISTREMENT SONORE | 8 CEDH, 36 Cst., 235 CPP (CH), 263 CPP (CH), 63 al. 1 RSDAJ</w:t>
      </w:r>
    </w:p>
    <w:p>
      <w:pPr>
        <w:pStyle w:val="Heading2"/>
      </w:pPr>
      <w:r>
        <w:t>Erwägungen</w:t>
      </w:r>
    </w:p>
    <w:p>
      <w:r>
        <w:rPr>
          <w:b/>
        </w:rPr>
        <w:t>E. 1.1</w:t>
      </w:r>
    </w:p>
    <w:p>
      <w:r>
        <w:t>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Petit Commentaire du Code de procédure pénale, 2 e éd., Bâle 2016, n. 24 ad art. 263 CPP). Un recours immédiat est également ouvert contre le refus du Ministère public de retirer un moyen de preuve prétendument inexploitable (ATF 143 IV 475 consid. 2 ; TF 1B_485/2021 du 26 novembre 2021 consid. 2 et les références citées ; Bénédict, in : Jeanneret/Kuhn/Perrier Depeursinge [éd.], Commentaire romand, Code de procédure pénale suisse [ci-après : CR CPP], 2 e éd., Bâle 2019, nn. 52 à 55 ad art. 141 CPP). Le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art. 80 LOJV [Loi d’organisation judiciaire du 12 décembre 1979 ; BLV 173.01]).</w:t>
      </w:r>
    </w:p>
    <w:p>
      <w:r>
        <w:rPr>
          <w:b/>
        </w:rPr>
        <w:t>E. 1.2</w:t>
      </w:r>
    </w:p>
    <w:p>
      <w:r>
        <w:t>En l’espèce, l’acte de recours est dirigé contre l’ordonnance de séquestre du 12 juillet 2022. Toutefois, le recourant a précisé dans la lettre accompagnant son acte de recours que celui-ci portait non seulement contre cette ordonnance, mais aussi contre « une décision du Ministère public de l’arrondissement de Lausanne ». A cet égard, le bordereau des pièces produites contient le courrier du procureur du 12 juillet 2022, par lequel celui-ci a considéré que l’enregistrement litigieux était licite et exploitable. On peut donc supposer que le recours est également dirigé contre ce prononcé, ce que paraît confirmer la conclusion du recourant tendant à la destruction des données enregistrées. Cela étant, déposé en temps utile auprès de l’autorité compétente, par un prévenu qui a qualité pour recourir (art. 382 al. 1 CPP) et dans les formes prescrites (art. 385 al. 1 CPP), le recours de K.________ est recevable.</w:t>
      </w:r>
    </w:p>
    <w:p>
      <w:r>
        <w:rPr>
          <w:b/>
        </w:rPr>
        <w:t>E. 2.1</w:t>
      </w:r>
    </w:p>
    <w:p>
      <w:r>
        <w:t>Le recourant soutient que l’enregistrement de sa conversation avec ses parents du 6 juillet 2022 violerait les art. 8 CEDH et 13 Cst. A cet égard, il considère qu’en ordonnant cet enregistrement, le procureur aurait procédé sans autorisation à une mesure de surveillance secrète au sens de l’art. 269 CPP. En conséquence, les informations recueillies ne seraient pas exploitables, de sorte que l’ordonnance de séquestre devrait être annulée. Il estime en outre que les art. 235 CPP et 63 RSDAJ (règlement sur le statut des personnes détenues placées en établissement de détention avant jugement du 28 novembre 2018 ; BLV 340.02.5) ne constituent pas une base légale suffisante.</w:t>
      </w:r>
    </w:p>
    <w:p>
      <w:r>
        <w:rPr>
          <w:b/>
        </w:rPr>
        <w:t>E. 2.1.1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Aux termes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w:t>
      </w:r>
    </w:p>
    <w:p>
      <w:r>
        <w:rPr>
          <w:b/>
        </w:rPr>
        <w:t>E. 2.1.2.1</w:t>
      </w:r>
    </w:p>
    <w:p>
      <w:r>
        <w:t>Selon l’art. 235 al. 1 CPP, la liberté des prévenus en détention ne peut être restreinte que dans la mesure requise par le but de la détention et par le respect de l'ordre et de la sécurité dans l'établissement. Tout contact entre le prévenu en détention et des tiers est soumis à l'autorisation de la direction de la procédure. Les visites sont surveillées si nécessaire (al. 2). L'art. 235 al. 1 CPP constitue ainsi la base légale permettant de restreindre les droits des prévenus dans la mesure où le but de la détention l'exige (TF 1B_122/2020 du 20 mars 2020 consid. 2.1 à 2.3 ; TF 1B_17/2015 du 18 mars 2015 consid. 3.1 ; Schmid/Jositsch, Schweizerische Strafprozessordnung (StPO) : Praxiskommentar, 3 e éd., Zurich 2018, n. 1 ad art. 235 CPP). Il appartient au législateur cantonal de régler les droits et les obligations des prévenus en détention (art. 235 al. 5 CPP ; T F 1B_410/2019 du 4 octobre 2019 consid. 3.1 ; TF 1B_425/2015 du 21 juin 2016 consid. 2.4.1).</w:t>
      </w:r>
    </w:p>
    <w:p>
      <w:r>
        <w:rPr>
          <w:b/>
        </w:rPr>
        <w:t>E. 2.1.2.2</w:t>
      </w:r>
    </w:p>
    <w:p>
      <w:r>
        <w:t>La garantie de la liberté personnelle (art. 10 al. 2 Cst. [Constitution fédérale de la Confédération suisse du 18 avril 1999 ; RS 101]) et le droit au respect de la vie privée et familiale (art. 8 CEDH [Convention de sauvegarde des droits de l’homme et des libertés fondamentales du 4 novembre 1950 ; RS 0.101] et 13 Cst.) permettent aux personnes détenues d'entretenir des contacts avec les membres de leur famille, dans les limites découlant de la mesure de contrainte qui leur est imposée et du rapport de sujétion spécial qui les lie à l'Etat (ATF 145 I 318 consid. 2.1). Conformément aux exigences de l'art. 36 Cst., les restrictions à ces droits doivent reposer sur une base légale et ne pas aller au-delà de ce qui est nécessaire au but de l'incarcération et au fonctionnement de l'établissement de détention (ATF 145 I 318 consid. 2.1 ; ATF 143 I 241 consid. 3.4 et les réf. citées). Le principe de la proportionnalité, consacré de manière générale par la disposition susmentionnée, et rappelé en matière d'exécution de la détention avant jugement à l'art. 235 al. 1 CPP,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(ATF 145 I 318 consid. 2.1).</w:t>
      </w:r>
    </w:p>
    <w:p>
      <w:r>
        <w:rPr>
          <w:b/>
        </w:rPr>
        <w:t>E. 2.1.2.3</w:t>
      </w:r>
    </w:p>
    <w:p>
      <w:r>
        <w:t>Dans le canton de Vaud, le RSDAJ est applicable à toutes les personnes majeures détenues avant jugement, dans un établissement de détention avant jugement (art. 2 et 3 RSDAJ). Les relations des détenus avec l'extérieur sont précisées aux art. 53 ss RSDAJ. L'usage du téléphone est réglementé à l'art. 63 RSDAJ, dont l'al. 1 dispose que, pour autant que l'autorité dont elles dépendent les y ait autorisées, les personnes détenues avant jugement peuvent, sous le contrôle du personnel pénitentiaire, effectuer des appels téléphoniques, en principe à raison d'un par semaine. Les appels téléphoniques des personnes détenues avant jugement à leurs avocats ne sont pas soumis à autorisation (al. 2). Les appels s'effectuent durant les heures fixées par la direction de chaque établissement (al. 3). Les conversations sont enregistrées et peuvent être contrôlées (al. 6). Dans un arrêt récent, le Tribunal fédéral a confirmé que le RSPC (règlement sur le statut des personnes condamnées exécutant une peine privative de liberté ou une mesure ; BLV 3040.01.01), et donc a fortiori le RSDAJ, constituait une base légale suffisante pour restreindre, à certaines conditions, la liberté personnelle des détenus (ATF 145 I 318).</w:t>
      </w:r>
    </w:p>
    <w:p>
      <w:r>
        <w:rPr>
          <w:b/>
        </w:rPr>
        <w:t>E. 2.1.2.4</w:t>
      </w:r>
    </w:p>
    <w:p>
      <w:r>
        <w:t>Le principe d'un contrôle de la correspondance en détention avant jugement (art. 235 al. 3 CPP) n'est pas remis en cause par la doctrine et la jurisprudence du Tribunal fédéral, qui reconnaissent en effet que le but de la détention en cause, le fonctionnement de l'établissement pénitentiaire (sécurité) et/ou l'organisation de la vie en communauté dans celui-ci peuvent justifier certaines restrictions - parfois allant au-delà d'un seul contrôle - dans les contacts avec l'extérieur ; ces limitations doivent cependant respecter le principe de proportionnalité (ATF 145 I 318 consid. 2.5 et les références citées).</w:t>
      </w:r>
    </w:p>
    <w:p>
      <w:r>
        <w:rPr>
          <w:b/>
        </w:rPr>
        <w:t>E. 2.2</w:t>
      </w:r>
    </w:p>
    <w:p>
      <w:r>
        <w:t>A l’instar de ce que la jurisprudence et la doctrine ont retenu en matière de contrôle de la correspondance de la personne détenue, qui n’est pas remis en cause par le recourant, il faut admettre que l’enregistrement et le contrôle des conversations téléphoniques, prévus par l’art. 63 al. 6 RSDAJ, sont des restrictions admissibles qui respectent le principe de la proportionnalité et qui se justifient par le but de la détention en cause (par exemple, éviter tout risque de collusion) et par le fonctionnement de l’établissement pénitentiaire (ATF 145 I 318 consid. 2.5). En l’occurrence, on relèvera que ce contrôle a permis au procureur de constater que le prévenu, alors même qu’il est notamment poursuivi pour avoir menacé de mort sa compagne, n’a pas hésité à interférer dans l’enquête en tentant de faire disparaitre des armes et de la munition. Ainsi, il faut reconnaître que la disposition précitée constitue une base légale suffisante. C’est ainsi à tort que le recourant soutient que l’enregistrement de la conversation téléphonique litigieux constitue une mesure de surveillance secrète au sens des art. 269 à 281 CPP. Au demeurant, le recourant ne conteste pas l’affirmation du Ministère public selon laquelle il savait qu’il pouvait être écouté et enregistré ; il ressort du reste de cette conversation téléphonique qu’il en est tout à fait conscient et que c’est à dessein qu’il parle à mots couverts d’armes à dissimuler. Il résulte de ce qui précède que l’enregistrement de l’entretien téléphonique du 6 juillet 2022 était licite et les propos recueillis par le procureur pouvaient être exploités pour ordonner le séquestre litigieux. Mal fondé, l’argument du recourant doit être rejeté. Au surplus, le recourant n’invoque pas que les conditions posées au séquestre par les art. 197 et 263 CPP ne sont pas remplies. Il n’est donc pas nécessaire d’examiner d’office l’application de ces dispositions.</w:t>
      </w:r>
    </w:p>
    <w:p>
      <w:r>
        <w:rPr>
          <w:b/>
        </w:rPr>
        <w:t>E. 3</w:t>
      </w:r>
    </w:p>
    <w:p>
      <w:r>
        <w:t>En définitive, manifestement mal fondé, le recours doit être rejeté sans autre échange d’écritures (art. 390 al. 2 CPP) et les ordonnances entreprises confirmées. L es frais de la procédure de recours, constitués de l'émolument d'arrêt, par 990 fr. (art. 20 al. 1 TFIP [Tarif des frais de procédure et indemnités en matière pénale du 28 septembre 2010 ; BLV 312.03.1]), et des frais imputables à la défense d'office (art. 422 al. 1 et 2 let. a CPP), qui seront fixés à 450 fr. (2h30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9 fr., et la TVA, par 35 fr. 35, soit à 495 fr. au total en chiffres arrondis, seront mis à la charge du recourant, qui succombe (art. 428 al. 1 CPP). Par ces motifs, la Chambre des recours pénale prononce : I. Le recours est rejeté. II. Les ordonnances des 12 juillet 2020, respectivement de refus de destruction de données enregistrées et de séquestre, sont confirmées. III. L’indemnité allouée au défenseur d’office de K.________ est fixée à 495 fr. (quatre cent nonante-cinq francs). IV. Les frais d’arrêt, par 990 fr. (neuf cent nonante francs), ainsi que l’indemnité allouée au défenseur d’office de K.________, par 495 fr. (quatre cent nonante-cinq francs), sont mis à la charge de ce dernier. V. Le remboursement à l’Etat de l’indemnité allouée au chiffre III ci-dessus ne sera exigible que pour autant que la situation financière de K.________ le permette. VI. L’arrêt est exécutoire. La présidente :               Le greffier : Du Le présent arrêt, dont la rédaction a été approuvée à huis clos, est notifié, par l'envoi d'une copie complète, à : - Me Frank Tièche, avocat (pour K.________),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