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582 vom 29. Juli 2022</w:t>
      </w:r>
    </w:p>
    <w:p>
      <w:r>
        <w:t>VD Tribunal cantonal, 2022-07-29, FR</w:t>
      </w:r>
    </w:p>
    <w:p>
      <w:r>
        <w:rPr>
          <w:b/>
        </w:rPr>
        <w:t xml:space="preserve">Quelle: </w:t>
      </w:r>
      <w:r>
        <w:t>https://mcp.opencaselaw.ch/entscheid/vd_findinfo_D_cision___2022___582</w:t>
      </w:r>
    </w:p>
    <w:p>
      <w:r>
        <w:t>FR: VD_FINDINFO Décision / 2022 / 582 du 29 juillet 2022</w:t>
      </w:r>
    </w:p>
    <w:p>
      <w:r>
        <w:t>IT: VD_FINDINFO Décision / 2022 / 582 del 29 luglio 2022</w:t>
      </w:r>
    </w:p>
    <w:p>
      <w:pPr>
        <w:pStyle w:val="Heading2"/>
      </w:pPr>
      <w:r>
        <w:t>Regeste</w:t>
      </w:r>
    </w:p>
    <w:p>
      <w:r>
        <w:t>PERQUISITION DE DOCUMENTS ET ENREGISTREMENTS, MESURE DE CONTRAINTE{PROCÉDURE PÉNALE}, REJET DE LA DEMANDE | 197 al.1 CPP (CH), 246 CPP (CH), 382 al. 1 CPP (CH)</w:t>
      </w:r>
    </w:p>
    <w:p>
      <w:pPr>
        <w:pStyle w:val="Heading2"/>
      </w:pPr>
      <w:r>
        <w:t>Erwägungen</w:t>
      </w:r>
    </w:p>
    <w:p>
      <w:r>
        <w:rPr>
          <w:b/>
        </w:rPr>
        <w:t>E. 1.1</w:t>
      </w:r>
    </w:p>
    <w:p>
      <w:r>
        <w:t>Les parties peuvent attaquer un mandat de perquisition rendu par le Ministère public (art. 241 et 393 al. 1 let. a CPP [Code de procédure pénale suisse du 5 octobre 2007 ; RS 312.0] ; Hohl-Chirazi, in : Jeanneret/Kuhn/Perrier Depeursinge [éd.], Commentaire romand, Code de procédure pénale suisse [ci-après : CR CPP], 2 e éd., Bâle 2019, n. 53 ad art. 241 CPP) dans les dix jours devant l’autorité de recours (art. 396 al. 1 CPP ; cf. art. 20 al. 1 let. b CPP) qui est, dans le canton de Vaud, la Chambre des recours pénale du Tribunal cantonal (art. 13 LVCPP [Loi vaudoise d’introduction du Code de procédure pénale suisse ; BLV 312.01] ; art. 80 LOJV [Loi vaudoise d’organisation judiciaire ; BLV 173.01]).</w:t>
      </w:r>
    </w:p>
    <w:p>
      <w:r>
        <w:rPr>
          <w:b/>
        </w:rPr>
        <w:t>E. 1.2</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L’existence d’un intérêt actuel est niée lorsque la mesure de contrainte – dont la perquisition – a été exécutée (cf. TF 1B_30/2022 du 27 avril 2022 consid. 1 ; plus spécifiquement : TF 1B_550/2021 du 13 janvier 2022 consid. 3.2 et les références citées ; cf. ég. ATF 139 I 206 consid. 1.2, RDAF 2014 I 445 ; ATF 136 I 274, JdT 2010 IV 153 ; Sträuli, CR CPP, op. cit., nn. 11, 12 et 16 ad art. 393 CPP ; Keller, in : Donatsch/Lieber/Sumers/Wohlers [éd.], Kommentar zur Strafprozessordnung, 3 e éd., Zurich 2020, n. 36 ad art. 393 CPP et les références citées). Selon la doctrine, dans cette hypothèse, un intérêt à la constatation de l’illicéité de la mesure effectuée peut cependant entrer en considération (Keller, op. cit., n. 36 ad art. 393 CPP ; Gfeller, in : Niggli/Heer/Wiprächtiger [éd.], Basler Kommentar, Schweizerische Strafprozessordnung, 2 e éd., Bâle 2014, nn. 59 s. ad rem. prél. art. 241-254 CPP). Dans son arrêt du 13 janvier 2022 (TF 1B_550/2021 précité consid. 3.1.2), le Tribunal fédéral a encore précisé ce qui suit : « (…)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l’insuffisance des soupçons laissant présumer une infraction (cf. art. 197 al. 1 let. b CPP), l’absence de pertinence des objets et/ou documents séquestrés pour la procédure pénale, la violation du principe de proportionnalité (cf. art. 197 al. 1 let. c CPP) et/ou l’illicéité de l’ordre de perquisition, puisqu’il n’est en principe pas admissible de pouvoir présenter au cours d’une procédure pénale des preuves obtenues de manière illicite (cf. art. 139 et 141 CPP ; ATF 143 IV 270 consid. 6-7 ; arrêts 1B_275/2020 du 22 septembre 2020 consid. 3.1.2; 1B_134/2018 du 24 septembre 2018 consid. 2.1; 1B_394/2017 du 17 janvier 2018 consid. 3.1 non publié in ATF 144 IV 74 ; 1B_360/2013 du 24 mars 2014 consid. 2.2).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(arrêts 1B_275/2020 du 22 septembre 2020 consid. 3.1.2 ; 1B_351/2016 du 16 novembre 2016 consid. 1.3 ; 1B_360/2013 du 24 mars 2014 consid. 2.2 et les arrêts cités) ».</w:t>
      </w:r>
    </w:p>
    <w:p>
      <w:r>
        <w:rPr>
          <w:b/>
        </w:rPr>
        <w:t>E. 1.3</w:t>
      </w:r>
    </w:p>
    <w:p>
      <w:r>
        <w:t>En l’espèce, le recours a été déposé en temps utile, devant l’autorité compétente, et il satisfait aux conditions de forme posées par l’art. 385 al. 1 CPP. S’agissant de la qualité pour recourir du prévenu (art. 382 al. 1 CPP), on peut douter de la recevabilité du recours sur ce point. En effet, si le téléphone semble avoir été saisi, on ignore si la police a eu accès aux données qu’il contenait. En pareille situation, et conformément à la jurisprudence citée supra , le prévenu serait dépourvu d’intérêt juridiquement protégé à l’annulation de la mesure de contrainte et, par conséquent, ne disposerait plus de la qualité pour recourir. Il ne ressort cependant pas du dossier que la perquisition ait déjà été exécutée ni que le prévenu ait demandé la mise sous scellés de son téléphone. Toutefois, la question de la recevabilité peut être laissée ouverte, dès lors que le recours doit de toute manière être rejeté pour les motifs qui suivent.</w:t>
      </w:r>
    </w:p>
    <w:p>
      <w:r>
        <w:rPr>
          <w:b/>
        </w:rPr>
        <w:t>E. 2.1</w:t>
      </w:r>
    </w:p>
    <w:p>
      <w:r>
        <w:t>Le recourant conteste en substance le mandat de perquisition d’enregistrements de son téléphone. Il soutient que la fiole trouvée en sa possession lors de son interpellation du 10 juillet 2022 serait un médicament qui lui aurait été prescrit par un médecin sur ordonnance. Il estime qu’il existe une inégalité de traitement avec le témoin, dès lors que celui-ci n’aurait pas subi de tests permettant d’attester tant de la présence que de l’absence de stupéfiants, ou autre. Il se plaint également du fait que le Ministère public lui aurait refusé son droit à la consultation du dossier et qu’il n’aurait ainsi pas connaissance des preuves et accusations retenues à son encontre.</w:t>
      </w:r>
    </w:p>
    <w:p>
      <w:r>
        <w:rPr>
          <w:b/>
        </w:rPr>
        <w:t>E. 2.2.1</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w:t>
      </w:r>
    </w:p>
    <w:p>
      <w:r>
        <w:rPr>
          <w:b/>
        </w:rPr>
        <w:t>E. 2.2.2</w:t>
      </w:r>
    </w:p>
    <w:p>
      <w:r>
        <w:t>La section 3 « Perquisition de documents et enregistrements » règle aux art. 246 à 248 CPP la mise sous scellés et la procédure de levée de scellés :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(art. 246 CPP). Ceci vaut notamment pour les objets qui seront utilisés comme moyens de preuves (art. 263 al. 1 let. a CPP). Selon la jurisprudence du Tribunal fédéral, il est question d’une perquisition de documents ou d’enregistrements au sens de l’art. 246 CPP lorsque les documents écrits ou les supports de données doivent être lus ou vus, compte tenu de leur contenu ou de leur nature, pour établir leur aptitude à prouver, pour les séquestrer ou pour les verser au dossier (ATF 144 IV 74 consid. 2.1, JdT 2018 IV 170, spéc. 172).</w:t>
      </w:r>
    </w:p>
    <w:p>
      <w:r>
        <w:rPr>
          <w:b/>
        </w:rPr>
        <w:t>E. 2.2.3</w:t>
      </w:r>
    </w:p>
    <w:p>
      <w:r>
        <w:t>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(Constitution fédérale de la Confédération suisse du 18 avril 1999 ; RS 101),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elle suppose qu’il existe un rapport raisonnable entre les effets de la mesure sur la situation de la personne visée et le résultat escompté du point de vue de l’intérêt public (ATF 144 I 306 consid. 4.4.1 ; ATF 137 I 167 consid. 3.6 et les réf. citées).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 Plus la mesure de contrainte ordonnée est invasive, plus les soupçons requis doivent être importants (Moreillon/Parein-Reymond, Petit commentaire, Code de procédure pénale, 2 e éd., Bâle 2016, n. 6 ad art.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 il lui incombe uniquement d’examiner si, sur la base des actes d’instruction accomplis, l’autorité pouvait admettre l’existence d’indices suffisants et concrets de la commission d’une infraction (TF 1B_452/2020 du 4 novembre 2020 consid. 2.2 et les réf. citées).</w:t>
      </w:r>
    </w:p>
    <w:p>
      <w:r>
        <w:rPr>
          <w:b/>
        </w:rPr>
        <w:t>E. 3</w:t>
      </w:r>
    </w:p>
    <w:p>
      <w:r>
        <w:t>En l’espèce, on relèvera d’abord que, mise à part les auditions du recourant et du témoin ainsi que le rapport de police, le dossier d’enquête est pour le moins succinct. Il est toutefois confirmé que la fiole retrouvée en possession du recourant contenait du GHB, ce qui ne s’explique pas par le contenu du médicament (PV aud. 1, R. 2 p. 2, R. 8 p. 4 et R. 13 p. 6). Ainsi, même si le recourant conteste le comportement qui lui est reproché, il existe, à ce stade, des soupçons suffisants laissant présumer, à tout le moins, la commission d’une infraction à la LStup (Loi fédérale sur les stupéfiants et les substances psychotropes du 3 octobre 1951 ; RS 812.121). En outre, à la lecture des dépositions du recourant, il paraît nécessaire de comprendre son comportement, car ses explications ne sont ni satisfaisantes, ni convaincantes. En effet, celui-ci a, d’une part, spontanément déclaré avoir été toxicomane et avoir dû se soumettre à des tests capillaires dans le cadre de son retrait de permis de conduire. D’autre part, il a précisé avoir eu un accident en février 2022 et avoir « dû prendre du Tramadol qui contient des stupéfiants et [avoir] oublié de l’annoncer lors des contrôles capillaires. Ils ont retrouvé du MDMA dans mes cheveux alors que je n’ai rien pris » (cf. PV aud. 1, R. 3 p. 2). Il convient de relever que le prévenu semble avoir un passif lié à divers types de drogues. Il a notamment déclaré avoir eu « une plantation de cannabis [à] [...]. […] environ 600 pieds de cannabis », dont l’enquête ne serait, selon le recourant, pas terminée. De plus, lorsque la police l’a interrogé s’agissant « d’une affaire de cocaïne au [...] », le prévenu a précisé « ce n’était pas de la cocaïne mais de l’ecstasy au [...] en 2013 ». Il a ensuite soutenu : « [à] l’époque, je ne consommais que de la cocaïne et je suis sevré depuis le [...] ». Enfin, le recourant a déclaré « C’est drôle car j’ai toujours voulu voir comment c’était de prendre du GHB et on m’a dit que c’était bien et là je me rends compte qu’il y en a dans mes fioles pour les yeux » (cf. PV aud. 1, R. 4 p. 3), avant d’ajouter : « Oui j’ai déjà été drogué au GHB à mon insu. […] J’aurais pu taper quelqu’un, violer quelqu’un sans que je m’en souvienne » (cf. PV aud. 1, R. 9 p. 5). Par conséquent, la perquisition des données contenues dans le téléphone portable utilisé par le recourant est de nature à renseigner les enquêteurs sur la commission de l’infraction en cause ainsi que sur l’ampleur de ses activités dans ce type de milieu. Ce support de données pourrait dès lors être séquestré comme moyen de preuve au sens de l’art. 263 al. 1 let. a CPP. Enfin, la perquisition documentaire apparaît proportionnée à ce stade des investigations. L’affaire pourrait être sérieuse puisque la fiole saisie a été testée positive au GHB, alors que de nombreuses personnes fréquentant les milieux de la nuit s’inquiètent depuis plusieurs mois de l’utilisation de cette substance dans le but d’abuser de personnes, de sexe féminin surtout. Il apparaît donc nécessaire d’examiner un éventuel lien entre le prévenu et des cas répertoriés par la police dans d’autres cadres. Tant que le principe de la perquisition n’est pas définitivement jugé, il est nécessaire de conserver l’appareil. Face à ces éléments, le recourant s’en prend au témoin qui n’a pas été testé, qui lui est inconnu, prétend que le médicament lui a été prescrit par des médecins et reproche le fait que son appareil ait été confisqué, ce qui lui causerait un dommage qu’il se réserve de faire valoir. Ces arguments ne sont pas pertinents en l’espèce. Quant à son grief relatif au prétendu refus du Ministère public de lui accorder la consultation du dossier, il convient de relever que le recourant n’a pas effectué de demande de consultation formelle, et il ne saurait donc à ce stade se plaindre d’un tel refus, qui ne fait au demeurant pas l’objet de la décision attaquée. Les conditions d’une perquisition d’enregistrements numériques contenus dans le téléphone portable [...] (n o d’appel [...] ; [...]) appartenant au recourant sont donc réunies.</w:t>
      </w:r>
    </w:p>
    <w:p>
      <w:r>
        <w:rPr>
          <w:b/>
        </w:rPr>
        <w:t>E. 4</w:t>
      </w:r>
    </w:p>
    <w:p>
      <w:r>
        <w:t>Au vu de ce qui précède, le recours, manifestement mal fondé, doit être rejeté sans échange d’écritures (art. 390 al. 2 CPP), dans la mesure où il est recevable, et le mandat de perquisition d’enregistrements délivré le 11 juillet 2022 confirmé. Les frais de la procédure de recours, constitués du seul émolument d’arrêt, par 990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dans la mesure où il est recevable. II. Le mandat de perquisition d’enregistrements du 11 juillet 2022 est confirmé. III. Les frais d’arrêt, par 990 fr. (neuf cent nonante francs), sont mis à la charge de A.________. IV. L’arrêt est exécutoire. La présidente :               La greffière : Du Le présent arrêt, dont la rédaction a été approuvée à huis clos, est notifié, par l’envoi d’une copie complète, à : - M. A.________, - Ministère public central, et communiqué à : - Mme la Procureure du Ministère public de l’arrondissement de l’Est vaudois,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