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574 vom 19. Juli 2022</w:t>
      </w:r>
    </w:p>
    <w:p>
      <w:r>
        <w:t>VD Tribunal cantonal, 2022-07-19, FR</w:t>
      </w:r>
    </w:p>
    <w:p>
      <w:r>
        <w:rPr>
          <w:b/>
        </w:rPr>
        <w:t xml:space="preserve">Quelle: </w:t>
      </w:r>
      <w:r>
        <w:t>https://mcp.opencaselaw.ch/entscheid/vd_findinfo_D_cision___2022___574</w:t>
      </w:r>
    </w:p>
    <w:p>
      <w:r>
        <w:t>FR: VD_FINDINFO Décision / 2022 / 574 du 19 juillet 2022</w:t>
      </w:r>
    </w:p>
    <w:p>
      <w:r>
        <w:t>IT: VD_FINDINFO Décision / 2022 / 574 del 19 luglio 2022</w:t>
      </w:r>
    </w:p>
    <w:p>
      <w:pPr>
        <w:pStyle w:val="Heading2"/>
      </w:pPr>
      <w:r>
        <w:t>Regeste</w:t>
      </w:r>
    </w:p>
    <w:p>
      <w:r>
        <w:t>PLAINTE PÉNALE, RETARD, ORDONNANCE DE NON-ENTRÉE EN MATIÈRE, REJET DE LA DEMANDE, MOTIVATION DE LA DEMANDE | 31 CP, 310 CPP (CH), 385 al. 1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 BLV 312.01]; art. 80 LOJV [Loi d’organisation judiciaire du 12 décembre 1979; BLV 173.01]).</w:t>
      </w:r>
    </w:p>
    <w:p>
      <w:r>
        <w:rPr>
          <w:b/>
        </w:rPr>
        <w:t>E. 1.1.1</w:t>
      </w:r>
    </w:p>
    <w:p>
      <w:r>
        <w:t>Les parties peuvent attaquer une ordonnance de non-entrée en matière rendue par le Ministère public (art. 310 CPP) dans les dix jours devant l’autorité de recours (art. 310 al. 2, 322 al. 2 et 396 al. 1 CPP ; cf. art. 20 al.</w:t>
      </w:r>
    </w:p>
    <w:p>
      <w:r>
        <w:rPr>
          <w:b/>
        </w:rPr>
        <w:t>E. 1.1.2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 Summers/Wohlers (éd.), Zürcher Kommentar, Kommentar zur Schweizerischen Strafprozessordnung, 3 e éd. 2020, n. 14 ad art. 396 StPO et les réf. cit. ; Guidon, in Niggli/Heer/Wiprächtiger (éd.), Basler Kommentar, Schweizerische Strafprozessordnung, 2 e éd. 2014, n. 9c ad art. 396 StPO et les réf. cit. ; Calame, in : Jeanneret et al. [éd.], Commentaire romand, Code de procédure pénale suisse, 2 e éd., Bâle 2019, n. 21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23 mars 2022/193 consid. 1.2).</w:t>
      </w:r>
    </w:p>
    <w:p>
      <w:r>
        <w:rPr>
          <w:b/>
        </w:rPr>
        <w:t>E. 1.2</w:t>
      </w:r>
    </w:p>
    <w:p>
      <w:r>
        <w:t>En l’espèce, dans son acte, le recourant fait uniquement référence aux faits prétendument survenus en 2011 et concernant le dénommé [...]. Il ne développe ainsi aucun argument en lien avec la plainte qu’il a déposée contre l’employée d’une pharmacie le 25 janvier 2022. En conséquence, il y a lieu de considérer qu’il ne conteste que la non-entrée en matière sur sa plainte du 12 janvier 2022. Cela étant, interjeté dans le délai légal auprès de l’autorité compétente par la partie plaignante qui a qualité pour recourir (art. 382 al. 1 CPP), le recours d’F.________ est recevable, sous réserve de ce qui sera retenu sous l’angle de l’art. 385 CPP au considérant 4.2 ci-dessous.</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Les indices relatifs à la commission d'une infraction impliquant l'ouverture d'une instruction doivent toutefois être importants et de nature concrète ; de simples rumeurs ou de simples suppositions ne suffisent pas ; le soupçon initial doit au contraire reposer sur une base factuelle plausible, laissant apparaître la possibilité concrète qu'une infraction ait été commise (ATF 141 IV 87 consid. 1.3.1 ; TF 6B_488/2021 du 22 décembre 2021 consid. 5.3 et les références citées). Le Ministère public peut également rendre une ordonnance de non-entrée en matière en cas d’empêchements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CPP, 2 e éd., Bâle 2016, n. 13 ad art. 310 CPP), doit être assimilée à un empêchement de procéder au sens de l’art. 310 al. 1 let. b CPP, du moins lorsqu’aucune infraction poursuivie d’office n’est en cause (CREP 2 février 2022/86 consid. 2.1.1 ; CREP 22 octobre 2021/976 consid. 2.1.1).</w:t>
      </w:r>
    </w:p>
    <w:p>
      <w:r>
        <w:rPr>
          <w:b/>
        </w:rPr>
        <w:t>E. 2.1</w:t>
      </w:r>
    </w:p>
    <w:p>
      <w:r>
        <w:t>; TF 6B_100/2013 du 17 juin 2013 consid. 1.2 ; ATF 132 IV 49 consid. 3.2 ; 126 IV 131 consid. 2a). Ce délai impératif de trois mois concerne uniquement les infractions poursuivies sur plainte. Le délai institué par l'art. 31 CP étant un délai de péremption, il ne peut être ni interrompu, ni prolongé (ATF 118 IV 325 consid. 2b).</w:t>
      </w:r>
    </w:p>
    <w:p>
      <w:r>
        <w:rPr>
          <w:b/>
        </w:rPr>
        <w:t>E. 3</w:t>
      </w:r>
    </w:p>
    <w:p>
      <w:r>
        <w:t>Le recourant considère que le Ministère public aurait dû entrer en matière s’agissant des infractions de voies de faits, de lésions corporelles simples, de diffamation, de calomnie et de menaces.</w:t>
      </w:r>
    </w:p>
    <w:p>
      <w:r>
        <w:rPr>
          <w:b/>
        </w:rPr>
        <w:t>E. 3.1</w:t>
      </w:r>
    </w:p>
    <w:p>
      <w:r>
        <w:t>Selon l'art. 31 CP, le droit de porter plainte se prescrit par trois mois. Le délai court du jour où l'ayant droit a eu connaissance de l'infraction (sur le calcul du délai : cf. ATF 144 IV 161 consid. 2). Le point de départ du délai est la connaissance de l'auteur et bien entendu également de l'infraction, ce qui, selon la jurisprudence, implique de savoir de manière sûre et fiable que ses éléments constitutifs sont donnés (TF 6B_1113/2014 du 28 octobre 2015 consid.</w:t>
      </w:r>
    </w:p>
    <w:p>
      <w:r>
        <w:rPr>
          <w:b/>
        </w:rPr>
        <w:t>E. 3.2</w:t>
      </w:r>
    </w:p>
    <w:p>
      <w:r>
        <w:t>Les infractions de lésions corporelles simples, de diffamation et de calomnie, dont le recourant a fait état dans sa plainte pénale, se poursuivent uniquement sur plainte (cf. art. 123 ch. 1, 173 et 174 CP). Il s’ensuit que, s’agissant d’infractions qui auraient été commises en 2011, le délai pour déposer plainte de trois mois, selon l’art. 31 CP, est largement échu. Il en va de même pour les infractions de voies de fait et de menaces que le recourant mentionne dans son acte de recours, qui, elles aussi, ne se poursuivent que sur plainte (cf. art. 126 al. 1 et 180 CP). Partant, il existe un empêchement de procéder au sens de l’art. 310 al. 1 let. b CPP et c’est donc à juste titre que le Ministère public n’est pas entré en matière en raison de la tardiveté de la plainte.</w:t>
      </w:r>
    </w:p>
    <w:p>
      <w:r>
        <w:rPr>
          <w:b/>
        </w:rPr>
        <w:t>E. 4.1</w:t>
      </w:r>
    </w:p>
    <w:p>
      <w:r>
        <w:t>Dans son acte de recours, F.________ considère que les faits qu’il dénonce seraient constitutifs d’exposition (art. 127 CP), de mise en danger de la vie d’autrui (art. 129 CP) et de contrainte (art. 181 CP). Il fait valoir que ces infractions se poursuivent d’office et que l’action pénale se prescrirait par quinze ans, de sorte que le refus d’instruire constituerait un abus d’autorité.</w:t>
      </w:r>
    </w:p>
    <w:p>
      <w:r>
        <w:rPr>
          <w:b/>
        </w:rPr>
        <w:t>E. 4.2</w:t>
      </w:r>
    </w:p>
    <w:p>
      <w:r>
        <w:t>En l’occurrence, il peut être donné acte au recourant que les infractions qu’il énumère se poursuivent d’office. Toutefois, il ne suffit pas de citer une série de normes, mais il faut encore, d’une manière ou d’une autre, rendre plausible la commission des infractions dénoncées au moyen d’indices importants et de nature concrète (cf. supra consid. 2). Or, le recourant, qui se contente de mentionner des dispositions légales, ne développe aucun argument qui permettrait de retenir que les éléments constitutifs de l’une ou l’autre de ces infractions seraient réalisés. En effet, il se limite à affirmer qu’il aurait souvent été frappé au visage et jeté à terre, sans toutefois exposer dans quelles circonstances le dénommé [...] aurait agi et quelles seraient les blessures dont il aurait souffert ; il ne produit pas plus de pièces étayant ses affirmations et n’explique pas davantage pour quel motif il a attendu onze ans pour évoquer ces faits. Il s’ensuit que, s’agissant de la qualification des faits dénoncés comme relevant des infractions de contrainte, d’exposition et de mise en danger de la vie d’autrui, l’acte de recours ne satisfait pas aux exigences de motivation de l’art. 385 al. 1 CPP. Un tel vice ne saurait de plus justifier qu’un délai supplémentaire soit fixé au recourant pour compléter son acte en application de l’art. 385 al. 2 CPP. Partant, le recours doit être déclaré irrecevable sur ce point. Par surabondance, l’infraction de contrainte au sens de l’art. 181 CP se prescrit par dix ans, la peine maximale encourue par cette disposition étant de trois ans (art. 97 al. 1 let. c CP), de sorte que l’action pénale est quoi qu’il en soit prescrite en ce qui concerne cette infraction. Il existe dès lors, sous cet angle, un empêchement de procéder qui justifie la reddition d’une ordonnance de non-entrée en matière (art. 310 al. 1 let. b CPP).</w:t>
      </w:r>
    </w:p>
    <w:p>
      <w:r>
        <w:rPr>
          <w:b/>
        </w:rPr>
        <w:t>E. 5</w:t>
      </w:r>
    </w:p>
    <w:p>
      <w:r>
        <w:t>En définitive, le recours doit être rejeté dans la mesure où il est recevable et l’ordonnance entreprise confirmée. Vu le sort de la cause,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29 juin 2022 est confirmée. III. Les frais d’arrêt, par 770 fr. (sept cent septante francs), sont mis à la charge d’F.________. IV. L’arrêt est exécutoire. La présidente :               Le greffier : Du Le présent arrêt, dont la rédaction a été approuvée à huis clos, est notifié, par l'envoi d'une copie complète, à : - M. F.________,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