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57 vom 25. Januar 2022</w:t>
      </w:r>
    </w:p>
    <w:p>
      <w:r>
        <w:t>VD Tribunal cantonal, 2022-01-25, FR</w:t>
      </w:r>
    </w:p>
    <w:p>
      <w:r>
        <w:rPr>
          <w:b/>
        </w:rPr>
        <w:t xml:space="preserve">Quelle: </w:t>
      </w:r>
      <w:r>
        <w:t>https://mcp.opencaselaw.ch/entscheid/vd_findinfo_D_cision___2022___57</w:t>
      </w:r>
    </w:p>
    <w:p>
      <w:r>
        <w:t>FR: VD_FINDINFO Décision / 2022 / 57 du 25 janvier 2022</w:t>
      </w:r>
    </w:p>
    <w:p>
      <w:r>
        <w:t>IT: VD_FINDINFO Décision / 2022 / 57 del 25 gennaio 2022</w:t>
      </w:r>
    </w:p>
    <w:p>
      <w:pPr>
        <w:pStyle w:val="Heading2"/>
      </w:pPr>
      <w:r>
        <w:t>Regeste</w:t>
      </w:r>
    </w:p>
    <w:p>
      <w:r>
        <w:t>GRÂCE, EXÉCUTION DES PEINES ET DES MESURES, PEINE PRIVATIVE DE LIBERTÉ, PRINCIPE DE LA TERRITORIALITÉ | 3 al. 1 CP, 3 CP, 75 CP</w:t>
      </w:r>
    </w:p>
    <w:p>
      <w:pPr>
        <w:pStyle w:val="Heading2"/>
      </w:pPr>
      <w:r>
        <w:t>Erwägungen</w:t>
      </w:r>
    </w:p>
    <w:p>
      <w:r>
        <w:rPr>
          <w:b/>
        </w:rPr>
        <w:t>E. 1</w:t>
      </w:r>
    </w:p>
    <w:p>
      <w:r>
        <w:t>Selon l’art. 17 LEP (loi sur l’exécution des condamnations pénales du 4 juillet 2006 ; BLV 340.01), dans le cas où il apparaît, après la libération conditionnelle ou définitive d'une personne condamnée, qu'il existait contre cette dernière, à sa libération, un jugement exécutoire prononçant une peine privative de liberté, le Service pénitentiaire est compétent pour renoncer à lui faire exécuter cette peine (art. 75, al. 6 CP). Aux termes de l'art. 38 al. 1 LEP, les décisions rendues sur recours par le Service pénitentiaire peuvent faire l'objet d'un recours auprès du Tribunal cantonal. Certes, en l’espèce, la décision rendue par la Cheffe du service pénitentiaire ne l’a pas été « sur recours », mais dès lors que le Service pénitentiaire est compétent selon l’art. 17 LEP, la voie de recours vaut par analogie.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auprès de l'autorité compétente, par le condamné qui a qualité pour recourir (art. 382 al. 1 CPP) ; il est donc recevable dans cette mesure.</w:t>
      </w:r>
    </w:p>
    <w:p>
      <w:r>
        <w:rPr>
          <w:b/>
        </w:rPr>
        <w:t>E. 2.1</w:t>
      </w:r>
    </w:p>
    <w:p>
      <w:r>
        <w:t>Le recourant soutient qu’il aurait exécuté une peine privative de liberté de 41 mois en France, qu’il y aurait demandé la confusion des peines, y compris la peine prononcée en Suisse et qu’à sa libération en France, il pensait avoir exécuté l’ensemble des sanctions prononcées contre lui.</w:t>
      </w:r>
    </w:p>
    <w:p>
      <w:r>
        <w:rPr>
          <w:b/>
        </w:rPr>
        <w:t>E. 2.2.1</w:t>
      </w:r>
    </w:p>
    <w:p>
      <w:r>
        <w:t>Selon l’art. 75 al. 6 CP, lorsque le détenu est libéré conditionnellement ou définitivement et qu’il apparaît ultérieurement qu’il existait contre lui, à sa libération, un jugement exécutoire prononçant une peine privative de liberté, il y a lieu de renoncer à lui faire exécuter cette peine : si, pour une raison imputable à l’autorité d’exécution, cette peine n’a pas été exécutée avec l’autre peine (let. a), si, à sa libération, le détenu pouvait de bonne foi partir de l’idée qu’il n’existait contre lui aucun autre jugement exécutoire prononçant une peine privative de liberté (let. b) et si l’exécution de ce jugement risque de mettre en cause sa réinsertion (let. c). Afin que le condamné ne puisse pas invoquer abusivement l’absence de force exécutoire d’une peine privative de liberté, l’application de l’art. 75 al. 6 CP est subordonnée à la réalisation des trois conditions susmentionnées, qui sont cumulatives (Dupuis et al., Petit commentaire du Code pénal, 2 e éd., Bâle 2017, n. 22 ad art. 75 CP).</w:t>
      </w:r>
    </w:p>
    <w:p>
      <w:r>
        <w:rPr>
          <w:b/>
        </w:rPr>
        <w:t>E. 2.2.2</w:t>
      </w:r>
    </w:p>
    <w:p>
      <w:r>
        <w:t>En vertu du principe de territorialité, un État ne peut en principe exercer les prérogatives liées à sa souveraineté – dont le pouvoir répressif – qu'à l'intérieur de son propre territoire (cf. ATF 146 IV 36 consid. 2.2 et les réf. citées, notamment ATF 140 IV 86 consid. 2.4 ; TF 6B_282/2019 du 5 avril 2019 consid. 3 ; TF 6B_248/2017 du 17 mai 2017 consid. 3.3). Eu égard à ces principes, un État n'est pas non plus habilité à effectuer des mesures d'instruction et de poursuite pénale sur le territoire d'un autre État sans le consentement de ce dernier (ATF 146 IV 36 consid. 2.2 et les réf. citées, not. ATF 143 IV 21 consid. 3.2 ; ATF 141 IV 108 consid. 5.3). Les États se doivent de respecter réciproquement leur souveraineté. Les actes de puissance publique accomplis par un État ou par ses agents sur le territoire d'un autre sans le consentement de ce dernier sont inadmissibles (ATF 146 IV 36 consid. 2.2 et les réf. citées, not. ATF 137 IV 33 consid. 9.4.3 ; ATF 133 I 234 consid. 2.5.1) et constituent une atteinte à la souveraineté et à l'intégrité territoriale de l'État concerné, ce qui est une violation du droit international public (ATF 146 IV 86 consid. 2.4 ; TF 6B_1426/2020 du 31 mars 2021 consid. 2.1 ; TF 6B_282/2019 du 5 avril 2019 consid. 3). Aux termes de l'art. 3 CP,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144 IV 265 consid. 2.3.1 ; ATF 121 IV 145 consid. 2b/bb ; ATF 108 IV 145 consid. 3).</w:t>
      </w:r>
    </w:p>
    <w:p>
      <w:r>
        <w:rPr>
          <w:b/>
        </w:rPr>
        <w:t>E. 2.3</w:t>
      </w:r>
    </w:p>
    <w:p>
      <w:r>
        <w:t>La décision attaquée est bien fondée. En effet, en vertu du principe de la territorialité (art. 3 et 372 CP), seules les peines prononcées en Suisse en application du Code pénal suisse sont susceptibles de réaliser les conditions de l’art. 75 al. 6 CP, puisque le texte de l’art. 75 al. 6 let. a CP indique « L’autorité d’exécution », qui ne peut être que l’autorité suisse. De toute manière, l’autorité suisse a tenté de faire exécuter au recourant sa peine et celui-ci savait qu’il lui restait une peine privative de liberté à exécuter en Suisse. En l’absence de décision française de confusion des peines incluant la peine suisse et dès lors que le recourant n’a produit aucune pièce en ce sens, ce dernier ne pouvait pas partir de l’idée, à sa libération en France, qu’il n’existait pas d’autre jugement exécutoire prononçant une peine privative de liberté à son encontre. Les conditions mentionnées aux lettres a et b de l’art. 75 al. 6 CP ne sont donc de toute façon pas remplies. Celles-ci étant cumulatives, il n’est pas nécessaire d’examiner la condition mentionnée à la lettre c de cette disposition.</w:t>
      </w:r>
    </w:p>
    <w:p>
      <w:r>
        <w:rPr>
          <w:b/>
        </w:rPr>
        <w:t>E. 3</w:t>
      </w:r>
    </w:p>
    <w:p>
      <w:r>
        <w:t>Le recourant requiert l’allocation d’une indemnité de 500 fr. par jour de détention exécuté en violation de l’art. 75 al. 6 CP. Cette conclusion est irrecevable, la Chambre de céans n’étant pas l’autorité compétente pour allouer une telle indemnité. Au demeurant, il n’y a aucun motif d’en allouer une, la disposition invoquée ne trouvant pas application en l’espèce.</w:t>
      </w:r>
    </w:p>
    <w:p>
      <w:r>
        <w:rPr>
          <w:b/>
        </w:rPr>
        <w:t>E. 4</w:t>
      </w:r>
    </w:p>
    <w:p>
      <w:r>
        <w:t>A titre subsidiaire, le recourant requiert l’octroi de l’assistance judiciaire. Cette demande n’est nullement étayée et ne satisfait donc pas aux exigences de motivation (cf. art. 385 al. 1 CPP). Le recours étant d'emblée dénué de chance de succès (CREP 12 août 2021/735 consid. 5 ; CREP 29 avril 2019/344 et la référence citée), cette requête doit être rejetée dans la mesure où elle est recevable.</w:t>
      </w:r>
    </w:p>
    <w:p>
      <w:r>
        <w:rPr>
          <w:b/>
        </w:rPr>
        <w:t>E. 5</w:t>
      </w:r>
    </w:p>
    <w:p>
      <w:r>
        <w:t>Il résulte de ce qui précède que le recours, manifestement mal fondé, doit être rejeté sans échange d’écritures (art. 390 al. 2 CPP), dans la mesure où il est recevable, et la décision du 21 décembre 2021 confirmée.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21 décembre 2021 est confirmée. III. La requête d’assistance judiciaire gratuite pour la procédure de recours est rejetée dans la mesure où elle est recevable. IV. Les frais d’arrêt, par 990 fr. (neuf cent nonante francs), sont mis à la charge d’O.________. V. L’arrêt est exécutoire. La présidente :               La greffière : Du Le présent arrêt, dont la rédaction a été approuvée à huis clos, est notifié, par l'envoi d'une copie complète, à : - O.________, - Ministère public central, et communiqué à : ‑ Mme la Cheffe du Service pénitentiaire,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