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56 vom 25. Januar 2022</w:t>
      </w:r>
    </w:p>
    <w:p>
      <w:r>
        <w:t>VD Tribunal cantonal, 2022-01-25, FR</w:t>
      </w:r>
    </w:p>
    <w:p>
      <w:r>
        <w:rPr>
          <w:b/>
        </w:rPr>
        <w:t xml:space="preserve">Quelle: </w:t>
      </w:r>
      <w:r>
        <w:t>https://mcp.opencaselaw.ch/entscheid/vd_findinfo_D_cision___2022___56</w:t>
      </w:r>
    </w:p>
    <w:p>
      <w:r>
        <w:t>FR: VD_FINDINFO Décision / 2022 / 56 du 25 janvier 2022</w:t>
      </w:r>
    </w:p>
    <w:p>
      <w:r>
        <w:t>IT: VD_FINDINFO Décision / 2022 / 56 del 25 gennaio 2022</w:t>
      </w:r>
    </w:p>
    <w:p>
      <w:pPr>
        <w:pStyle w:val="Heading2"/>
      </w:pPr>
      <w:r>
        <w:t>Regeste</w:t>
      </w:r>
    </w:p>
    <w:p>
      <w:r>
        <w:t>DÉTENTION PROVISOIRE, PROPORTIONNALITÉ, PROLONGATION, RISQUE DE FUITE | 212 al. 3 CPP (CH), 221 al. 1 let. a CPP (CH), 227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T.________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3.1</w:t>
      </w:r>
    </w:p>
    <w:p>
      <w:r>
        <w:t>Le recourant conteste que de sérieux soupçons de commission d’infractions soient réalisés à son égard. Il affirme que l’instruction est arrivée à son terme et que toutes les mesures diligentées par le Ministère public ont confirmé son absence d’implication dans les faits reprochés. Il invoque aussi que la décision du Tribunal des mesures de contrainte est arbitraire, au motif qu'il n'avait pas tenu compte des résultats de l'instruction. Il relève à ce propos que, selon le rapport de police du 7 janvier 2022, aucune correspondance n’a pu être établie entre son profil ADN et ceux figurant dans les différentes bases de données fédérales. Il ajoute que, lors de l’audience de confrontation du 22 décembre 2022, [...] est revenu sur ses déclarations et l’a mis hors de cause. Il mentionne également qu'il n'y aurait aucune trace d'utilisation par lui d'un téléphone portable en Suisse, qu'[...] aurait déjà été condamné pour les faits sur lesquels sa détention serait basée, que de nombreuses autres personnes, qui auraient pu commettre les délits qui lui sont reprochés, sont mentionnées dans le dossier et que son interpellation à Barcelone n'aurait rien à voir avec les événements qui se sont passés en Suisse. Il affirme encore que ses casiers judiciaires allemand, espagnol et suisse sont vierges et que son casier judiciaire français ne fait pas état d'infractions aussi graves que celles qui lui sont reprochées. Enfin, il estime que la prétendue mise en cause d'[...] ne serait pas suffisante pour justifier sa détention.</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le recourant relève à juste titre que ses données signalétiques ne correspondent pas à des traces recueillies sur les lieux des délits commis en Suisse. Cependant, cela n'exclut pas qu'il ait participé à des cambriolages, le prévenu pouvant avoir pris des mesures pour éviter que son ADN notamment se trouve sur les lieux. Il en est de même de l'utilisation de son téléphone portable en Suisse. En outre, le fait que d'autres noms ressortent du dossier n'expulse pas le prévenu et, les cambriolages ayant été commis en bande, la condamnation d'[...] pour certains événements n'empêche pas que le prévenu soit également condamné pour les mêmes faits. Il est également exact qu'[...] s’est retracté lors de l’audience de confrontation du 20 décembre 2021. Toutefois, il y a lieu de relever à cet égard le peu de crédit à accorder à ses nouvelles déclarations. En effet, lors de son audition, il a commencé par déclarer qu’il n’était pas une « balance », avant même que le procureur l'interroge, puis il n'a pas voulu répondre aux questions de ce dernier. Par ailleurs, il ressort de son procès-verbal d'audition qu'il a confirmé connaître T.________ et qu'il a même précisé « c'est un collègue à moi ». Enfin, concernant le fait qu'[...] aurait menti pour alléger sa peine, on ne voit pas pour quelle raison la mise en cause d'un comparse aurait pour effet une réduction de peine. Le revirement d'[...] ne saurait donc remettre définitivement en cause les déclarations faites lors de son jugement. Ensuite, les circonstances de l’arrestation à Barcelone constituent indéniablement des éléments à charge, comme l’a d'ailleurs confirmé le Tribunal fédéral dans son arrêt du 17 janvier 2022. La voiture dans laquelle le recourant a été interpellé après une course poursuite avait en effet été volée le 6 octobre 2016 à St-Gall (P. 71 cas 8). En outre, elle avait été utilisée lors de six cambriolages et de trois excès de vitesse perpétrés entre le 8 et le 10 octobre 2016 (P. 71 cas 10 à 16, 18 et 19). Enfin, des objets liés à des cambriolages ont été retrouvés dans le coffre de celle-ci. Ainsi, contrairement à ce qu’affirme le recourant, de sérieux indices existent pour affirmer qu’il pourrait être impliqué dans le vol de ce véhicule et diverses infractions commises avec celui-ci. L’invraisemblance de ses déclarations quant à ses liens avec [...] en particulier et sa présence dans ce véhicule à Barcelone rendent les explications du recourant peu crédibles. Sur la base de ces éléments, des indices suffisants de culpabilité sont, à ce stade, réunis.</w:t>
      </w:r>
    </w:p>
    <w:p>
      <w:r>
        <w:rPr>
          <w:b/>
        </w:rPr>
        <w:t>E. 4</w:t>
      </w:r>
    </w:p>
    <w:p>
      <w:r>
        <w:t>Le recourant ne développe, à juste titre, pas de motivation en lien avec le risque de fuite retenu. Ce risque est en effet manifestement toujours réalisé compte tenu de la nationalité française du prévenu, ce pays n’extradant pas ses ressortissants, et de l’absence d’attaches en Suisse de celui-ci. Concernant le risque de réitération, le recourant ne l'aborde pas non plus et, à l'instar du tribunal, il n'y a pas lieu de l'examiner.</w:t>
      </w:r>
    </w:p>
    <w:p>
      <w:r>
        <w:rPr>
          <w:b/>
        </w:rPr>
        <w:t>E. 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Le fait que la peine encourue puisse être assortie du sursis, total ou partiel, n'est pas déterminant sous l'angle de la proportionnalité (ATF 133 I 270 consid. 3.4.2).</w:t>
      </w:r>
    </w:p>
    <w:p>
      <w:r>
        <w:rPr>
          <w:b/>
        </w:rPr>
        <w:t>E. 5.2</w:t>
      </w:r>
    </w:p>
    <w:p>
      <w:r>
        <w:t>Au regard de la jurisprudence, la durée de la détention provisoire ordonnée, soit un mois supplémentaire, ce qui représente un total de trois mois de détention provisoire, apparaît nettement inférieure à la peine à laquelle s’expose T.________ en cas de condamnation. La prolongation d'un mois prononcée par le premier juge apparaît nécessaire et proportionnée pour que le Ministère public effectue les dernières démarches, soit la clôture du dossier et la mise en accusation du prévenu, et elle sera confirmée.</w:t>
      </w:r>
    </w:p>
    <w:p>
      <w:r>
        <w:rPr>
          <w:b/>
        </w:rPr>
        <w:t>E. 6</w:t>
      </w:r>
    </w:p>
    <w:p>
      <w:r>
        <w:t>Pour le surplus, aucune mesure de substitution (art. 237 CPP) n’est susceptible de prévenir valablement le risque de fuite retenu et le recourant n’en propose du reste aucune.</w:t>
      </w:r>
    </w:p>
    <w:p>
      <w:r>
        <w:rPr>
          <w:b/>
        </w:rPr>
        <w:t>E. 7</w:t>
      </w:r>
    </w:p>
    <w:p>
      <w:r>
        <w:t>Au vu de ce qui précède, le recours, manifestement mal fondé, doit être rejeté sans échange d’écritures (art. 390 al. 2 CPP) et l'ordonnance du 17 janvier 2022 confirmée. L’indemnité allouée au défenseur d’office de T.________ sera fixée, en l'absence de liste d'opérations produite avec le recours (TPF BB.2019.183 du 7 novembre 2019), en tenant compte d’une activité nécessaire d'avocat estimée à 2.5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450 fr., auxquels s'ajoutent 2% de débours forfaitaires (art. 2 al. 1 let. a et 3bis RAJ, applicables par renvoi de l'art. 26b TFIP), par 9 fr., et la TVA à 7,7%, par 35 fr. 35, soit à 495 fr. au total en chiffres arrondis. Les frais de la procédure de recours, constitués en l'espèce de l'émolument d'arrêt (art. 422 al. 1 CPP), par 1'100 fr. (art. 20 al. 1 TFIP), et des frais imputables à la défense d'office (art. 422 al. 1 et 2 let. a CPP), par 495 fr., seront mis à la charge de T.________,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17 janvier 2022 est confirmée. III. L’indemnité allouée au défenseur d’office de T.________ est fixée à 495 fr. (quatre cent nonante-cinq francs). IV. Les frais d’arrêt, par 1'100 fr. (mille cent francs), ainsi que l’indemnité due au défenseur d’office de T.________, par 495 fr. (quatre cent nonante-cinq francs), sont mis à la charge de ce dernier. V. Le remboursement à l'Etat de l'indemnité allouée au chiffre III ci-dessus ne sera exigible que pour autant que la situation financière de T.________ le permette. VI. L’arrêt est exécutoire. La présidente :               La greffière : Du Le présent arrêt, dont la rédaction a été approuvée à huis clos, est notifié, par l'envoi d'une copie complète, à : - Me Jérôme Reymond, avocat (pour T.________), - Ministère public central, et communiqué à : ‑ Mme la Présidente du Tribunal des mesures de contrainte, - M. le Procureur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