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527 vom 14. Juli 2022</w:t>
      </w:r>
    </w:p>
    <w:p>
      <w:r>
        <w:t>VD Tribunal cantonal, 2022-07-14, FR</w:t>
      </w:r>
    </w:p>
    <w:p>
      <w:r>
        <w:rPr>
          <w:b/>
        </w:rPr>
        <w:t xml:space="preserve">Quelle: </w:t>
      </w:r>
      <w:r>
        <w:t>https://mcp.opencaselaw.ch/entscheid/vd_findinfo_D_cision___2022___527</w:t>
      </w:r>
    </w:p>
    <w:p>
      <w:r>
        <w:t>FR: VD_FINDINFO Décision / 2022 / 527 du 14 juillet 2022</w:t>
      </w:r>
    </w:p>
    <w:p>
      <w:r>
        <w:t>IT: VD_FINDINFO Décision / 2022 / 527 del 14 luglio 2022</w:t>
      </w:r>
    </w:p>
    <w:p>
      <w:pPr>
        <w:pStyle w:val="Heading2"/>
      </w:pPr>
      <w:r>
        <w:t>Regeste</w:t>
      </w:r>
    </w:p>
    <w:p>
      <w:r>
        <w:t>DÉTENTION PROVISOIRE, MESURE DE SUBSTITUTION À LA DÉTENTION, REJET DE LA DEMANDE |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3.1</w:t>
      </w:r>
    </w:p>
    <w:p>
      <w:r>
        <w:t>Le recourant ne conteste ni l’existence de soupçons suffisants de commission d’une infraction grave, ni l’existence d’un risque de réitération. Dans ces conditions, ces deux points doivent donc être tenus pour acquis. En revanche, invoquant un début d’amendement qu’il aurait opéré à la faveur de sa détention, il fait valoir que le risque retenu peut être jugulé par les mesures de substitution faisant l’objet de ses conclusions. Il se prévaut de la violation du principe de proportionnalité et d’un arrêt du Tribunal fédéral.</w:t>
      </w:r>
    </w:p>
    <w:p>
      <w:r>
        <w:rPr>
          <w:b/>
        </w:rPr>
        <w:t>E. 3.2</w:t>
      </w:r>
    </w:p>
    <w:p>
      <w:r>
        <w:t>Conformément au principe de la proportionnalité ancré à l'art. 36 al. 3 Cst. (Constitution fédérale de la Confédération suisse du 18 avril 1999; RS 101), l’autorité doit tenter autant que possible de substituer à la détention toute autre mesure moins incisive propre à atteindre le même résultat (ATF 142 IV 367 consid. 2.1, SJ 2017 I 233;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précité). Selon l'art. 237 al. 2 CPP, font notamment partie des mesures de substitution l’assignation à résidence ou l’interdiction de se rendre dans un certain lieu ou un certain immeuble (let. c) et l’interdiction d’entretenir des relations avec certaines personnes (let. g). A teneur de l’art. 237 al. 3 CPP, pour surveiller l’exécution de ces mesures, le tribunal peut ordonner l’utilisation d’appareils techniques qui peuvent être fixés à la personne sous surveillance. Le port d'un bracelet électronique, au sens de l'art. 237 al. 3 CPP, peut aussi constituer une alternative à la détention (ATF 145 IV 502 consid. 3.3.1 p. 510), dont l'adéquation doit être évaluée en fonction de toutes les circonstances (intensité du risque de fuite, gravité des infractions notamment; même arrêt consid. 3.3.2 p. 512; TF 1B_1/2021 du 21 janvier 2021 consid. 2.1; cf. aussi TF 1B_111/2022 du 18 mars 2022 consid. 4.1 et 4.2).</w:t>
      </w:r>
    </w:p>
    <w:p>
      <w:r>
        <w:rPr>
          <w:b/>
        </w:rPr>
        <w:t>E. 3.3</w:t>
      </w:r>
    </w:p>
    <w:p>
      <w:r>
        <w:t>En l’espèce, les mesures de substitution proposées ne sont pas de nature à prévenir efficacement la réalisation du risque de réitération présenté par le recourant. D’abord, l’assertion du recourant selon laquelle la détention provisoire subie à ce jour aurait exercé sur lui des effets favorables ne repose sur aucun élément concret. En particulier, c’est de manière gratuite que le recourant invoque ses regrets, les excuses qu’il aurait présentées, sa frustration en raison de « la situation particulièrement difficile de son fils et (de) l’absence de communication avec son épouse à ce sujet », sa prétendue collaboration avec les autorités et le fait qu’il serait disposé à envisager de vivre séparé de son épouse. Bien plutôt, il y a lieu d’attendre le dépôt du rapport d’expertise pour se prononcer sur un éventuel amendement, que le juge de la détention ne saurait admettre sans autre, à savoir sur la seule foi des déclarations du prévenu. Il suffit de constater, en l’état, que le recourant a été condamné, il y a moins de dix ans, à une peine privative de liberté, certes avec sursis, à raison d’infractions similaires, au préjudice de la même victime, à savoir son épouse. Non contestés, comme déjà relevé, les faits incriminés commandent de considérer que cette condamnation n’a pas eu l’effet de prévention escompté. Ensuite, l’arrêt du Tribunal fédéral dont se prévaut le recourant (TF 1B_108/2018 du 28 mars 2018, ad Chambre des recours pénale du 6 février 2018, n° 82) n’a pas la portée qu’il lui confère. Dans cette espèce, il s’agissait d’un prévenu auquel était, notamment, reproché d'avoir à plusieurs reprises menacé sa femme de mort et de l'avoir contrainte à entretenir un rapport sexuel; le casier judiciaire de l’intéressé comportait deux condamnations, prononcées en juillet 2010, pour séjour illégal et activité lucrative sans autorisation. La Cour a considéré que « ni les faits reprochés ni la personnalité du recourant ne s'oppos [ai] ent en principe à la mise en place de mesures de substitution, combinées si nécessaire avec une surveillance électronique », en ajoutant que « [l] es faits reprochés [étaie] nt certes graves, mais ils apparaiss [ai] ent isolés plutôt que de s'inscrire dans la durée » et qu’ « ils ne démontr [ai] ent pas plus une évolution croissante de violence » (consid. 3.3). Ainsi, en omettant d'examiner ces questions de manière approfondie, la cour cantonale avait violé le principe de la proportionnalité (consid. 3.4 in initio). Les antécédents du prévenu dans l’affaire tranchée par l’arrêt du 28 mars 2018 étaient d’une toute autre nature que ceux présentés par le recourant. En effet, il n’y avait pas de réitération spéciale d’actes de violence, s’agissant notamment d’un crime contre l’intégrité sexuelle, l’infraction serait-elle même demeurée au stade de la tentative. Il s’ensuit qu’ici, la situation est sensiblement moins favorable au prévenu, dans la mesure où le recourant présente, comme déjà relevé, un antécédent de même nature, qui plus est portant sur des infractions graves. Dans ces conditions, au vu dudit antécédent et du récit des événements fait par son épouse et de la manière dont celle-ci a décrit le caractère du recourant, à savoir sa jalousie excessive, sa volonté de la contrôler, ses menaces de la faire disparaître avec ses fils si elle le quittait, son caractère colérique et impulsif, seules les conclusions de l’expertise psychiatrique mise en œuvre permettront de déterminer si le recourant souffre d’un trouble mental et si les faits qui lui sont reprochés sont en relation avec ce trouble, d’une part, et si d’éventuelles mesures de substitution permettraient d’atteindre le même but que la détention, d’autre part. Dans cette attente, la sécurité de l’épouse et de la famille du recourant doit prévaloir. Les mesures proposées, qui reposent toutes sur la volonté du recourant de s’y soumettre, ne permettraient que de constater a posteriori qu’il les aurait transgressées. Elles ne permettent manifestement pas de parer efficacement au risque de réitération.</w:t>
      </w:r>
    </w:p>
    <w:p>
      <w:r>
        <w:rPr>
          <w:b/>
        </w:rPr>
        <w:t>E. 4</w:t>
      </w:r>
    </w:p>
    <w:p>
      <w:r>
        <w:t>Pour le surplus, la durée de la détention provisoire ordonnée demeure largement proportionnée à la peine susceptible d’être prononcée en cas de condamnation (art. 212 al. 3 CPP).</w:t>
      </w:r>
    </w:p>
    <w:p>
      <w:r>
        <w:rPr>
          <w:b/>
        </w:rPr>
        <w:t>E. 5</w:t>
      </w:r>
    </w:p>
    <w:p>
      <w:r>
        <w:t>Au vu de ce qui précède, le recours, manifestement mal fondé, doit être rejeté sans échange d'écritures (art. 390 al. 2 CPP) et l'ordonnance du 28 juin 2022 confirmée. Les frais de la procédure de recours, constitués de l’émolument d’arrêt, par 880 fr. (art. 20 al. 1 TFIP [Tarif des frais de procédure et indemnités en matière pénale du 28 septembre 2010; BLV 312.03.1]), et des frais imputables à la défense d’office (art. 422 al. 1 et 2 let. a CPP), fixés, selon la liste d’opérations produite, à 581 fr. (2,80 heures d’activité nécessaire d’avocat au tarif horaire de 180 fr. et 0,7 heure d’activité nécessaire d’avocat stagiaire au tarif horaire de 110 fr.), auxquels il convient d’ajouter des débours forfaitaires à concurrence de 2 %, et non 5 % comme réclamé (art. 3 bis al. 1 RAJ [Règlement sur l’assistance judiciaire en matière civile du 7 décembre 2010; BLV 211.02.3], applicable par renvoi de l’art. 26b TFIP), par 11 fr. 60, plus la TVA, par 45 fr. 65, soit à 639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let. a CPP). Par ces motifs, la Chambre des recours pénale prononce : I. Le recours est rejeté. II. L’ordonnance du 28 juin 2022 est confirmée. III. L'indemnité allouée à Me Evan Kohler, défenseur d'office de F.________, est fixée à 639 fr. (six cent trente-neuf francs). IV. Les frais d'arrêt, par 880 fr. (huit cent huitante francs), ainsi que l'indemnité allouée à Me Evan Kohler, par 639 fr. (six cent trente-neuf francs), sont mis à la charge de F.________. V. Le remboursement à l'Etat de l'indemnité allouée sous chiffre III ci-dessus ne sera exigible de F.________ que pour autant que sa situation financière le permette. IV. L’arrêt est exécutoire. La présidente :               Le greffier : Du Le présent arrêt, dont la rédaction a été approuvée à huis clos, est notifié, par l'envoi d'une copie complète, à : - Me Evan Kohler, avocat (pour F.________), - Ministère public central, et communiqué à : ‑ M. le Président du Tribunal des mesures de contrainte, - M. le Procureur de l’arrondissement de La Côte, - Me Alain Vuithier, avocat, - Service de la population (par e-fax),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