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506 vom 15. Juli 2022</w:t>
      </w:r>
    </w:p>
    <w:p>
      <w:r>
        <w:t>VD Tribunal cantonal, 2022-07-15, FR</w:t>
      </w:r>
    </w:p>
    <w:p>
      <w:r>
        <w:rPr>
          <w:b/>
        </w:rPr>
        <w:t xml:space="preserve">Quelle: </w:t>
      </w:r>
      <w:r>
        <w:t>https://mcp.opencaselaw.ch/entscheid/vd_findinfo_D_cision___2022___506</w:t>
      </w:r>
    </w:p>
    <w:p>
      <w:r>
        <w:t>FR: VD_FINDINFO Décision / 2022 / 506 du 15 juillet 2022</w:t>
      </w:r>
    </w:p>
    <w:p>
      <w:r>
        <w:t>IT: VD_FINDINFO Décision / 2022 / 506 del 15 luglio 2022</w:t>
      </w:r>
    </w:p>
    <w:p>
      <w:pPr>
        <w:pStyle w:val="Heading2"/>
      </w:pPr>
      <w:r>
        <w:t>Regeste</w:t>
      </w:r>
    </w:p>
    <w:p>
      <w:r>
        <w:t>TIERS NON IMPLIQUÉ, SÉQUESTRE{MESURE PROVISIONNELLE} | 70 al. 1 CP, 263 CPP (CH)</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 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La Chambre de céans relèvera que P.________ a été interpellée par avis du 22 juin 2022 afin d'indiquer si son courrier du 5 juin 2022 devait être considéré comme un recours. Elle a en outre été informée qu'à défaut d'annonce claire, ledit courrier serait considéré comme tel. L'avis précité a été retourné par la Poste suisse avec la mention « non réclamé ». Il n'en demeure pas moins que P.________ savait qu'une procédure la concernant était en cours puisqu'elle avait elle-même écrit au Ministère public pour contester l'ordonnance de séquestre. Elle devait dès lors s'attendre à recevoir des communications judiciaires à l'adresse qu'elle avait indiquée, à savoir [...], à [...]. Partant, elle est réputée avoir reçu l'avis du 22 juin 2022, de sorte qu'il sera considéré que le courrier du 5 juin 2022 constitue un acte de recours contre l'ordonnance de séquestre du 25 mai 2022. Cela étant , en sa qualité de détentrice des objets visés par le séquestre, P.________ doit être considérée comme un tiers touché par un acte de procédure (cf. art. 105 al. 2 let. f CPP ; Bendani in : Jeanneret et al. [éd.], Commentaire romand, Code de procédure pénale suisse, 2 e éd., Bâle 2019, n. 23 ad. art. 105 CPP). Dès lors qu'elle dispose d'un intérêt juridiquement protégé à l'annulation ou à la modification de l'ordonnance attaquée, elle a la qualité pour recourir (art. 382 al. 1 CPP). Pour le surplus, le recours a été déposé en temps utile devant l’autorité compétente et satisfait aux conditions de forme posées par l’art. 385 al. 1 CPP. Il est donc recevable.</w:t>
      </w:r>
    </w:p>
    <w:p>
      <w:r>
        <w:rPr>
          <w:b/>
        </w:rPr>
        <w:t>E. 2</w:t>
      </w:r>
    </w:p>
    <w:p>
      <w:r>
        <w:t>La recourante soutient avoir acquis le sac noir Louis Vuitton avec ses propres économies. S'agissant des autres objets, elle prétend qu'il s'agirait de cadeaux de ses sœurs et d'autres personnes. Par ailleurs, elle expose qu'elle n'est « pas au courant de cette affaire », qu'elle a travaillé à plein temps jusqu'à la naissance de son troisième enfant, qu'elle a toujours travaillé pour subvenir aux besoins de la famille et qu'elle est une personne honnête. 2.1.1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Aux termes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L’atteinte causée par une mesure de séquestre présuppose l’existence de soupçons suffisants laissant présumer la commission d’une infraction par la ou des personnes visées par la procédure pénale (art. 197 al. 1 CPP). Au début de l’enquête, il est admis qu’un soupçon crédible ou un début de preuve de l’existence de l’infraction reprochée suffise à permettre le séquestre, ce qui laisse une grande place à l’appréciation du juge (Julen Berthod in : Jeanneret et al. [éd.],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dans le cadre de l'examen d'un séquestre, l'autorité statue sous l'angle de la vraisemblance, examinant des prétentions encore incertaines. La mesure doit pouvoir être ordonnée rapidement, ce qui exclut la résolution de questions juridiques complexes (ATF 141 IV 360 consid. 3.2 ; voir les arrêts cités par 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 cit. ; Julen Berthod, op. cit., n. 26 ad art. 263 CPP et les références citées). 2.1.2 Le séquestre en vue de confiscation, prévu par l’art. 263 al. 1 let. d CPP, est une mesure conservatoire provisoire – destinée à préserver les objets ou les valeurs que le juge du fond pourrait être amené à confisquer – fondée sur la vraisemblance et se justifie aussi longtemps qu'une simple possibilité de confiscation en application du Code pénal semble, prima facie ,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JdT 2014 IV 305). C'est en particulier le cas lorsque l'obtention des valeurs patrimoniales est l'un des éléments constitutifs de l'infraction ou constitue un avantage direct découlant de la commission de l'infraction (ATF 140 IV 57 précité, JdT 2014 IV 305). 2.1.3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CP) ; celle-ci ne peut être prononcée contre un tiers que dans la mesure où les conditions prévues à l'art. 70 al. 2 CP, qui exclut la confiscation lorsqu'un tiers a acquis des valeurs dans l'ignorance des faits qui l'auraient justifiée s'il a fourni une contre-prestation adéquate ou si la confiscation se révèle d'une rigueur excessive,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faute pour l’art. 71 al. 3 CP de l’exiger (ATF 140 IV 57 consid. 4.1.2, JdT 2014 IV 305). La possibilité pour l'autorité d'instruction de placer sous séquestre, en vue de l'exécution d'une créance compensatrice, des valeurs patrimoniales appartenant à la « personne concernée » découle directement de l'art. 71 al. 3 CP. Par « personne concernée » au sens de cette disposition, on entend non seulement l'auteur, mais aussi, à certaines conditions, un tiers favorisé, d'une manière ou d'une autre, par l'infraction (cf. art. 71 al. 1 CP renvoyant à l'art. 70 al. 2 CP ; TF 1B_213/2013 du 27 septembre 2013 consid. 4.1; TF 1B_583/2012 du 31 janvier 2013 consid. 2.1 et les références citées). Le séquestre tendant à garantir une éventuelle créance compensatrice peut porter sur tous les biens, valeurs et/ou revenus de l'intéressé ; il doit être maintenu tant qu'il ne viole pas le principe de la proportionnalité, notamment sous l'angle des conditions minimales d'existence (ATF 141 IV 360 consid. 3.2).</w:t>
      </w:r>
    </w:p>
    <w:p>
      <w:r>
        <w:rPr>
          <w:b/>
        </w:rPr>
        <w:t>E. 2.2</w:t>
      </w:r>
    </w:p>
    <w:p>
      <w:r>
        <w:t>En l'espèce, l'ordonnance attaquée est succincte s'agissant des charges pesant sur H.________. On relève toutefois que ce dernier a admis devant la procureure, lors de l’entretien téléphonique du 17 mai 2022, que sa « famille était dans une situation difficile avec des dettes » et qu’il avait été « aidé » par le plaignant à concurrence d'un montant de 170'000 fr. (cf. PV des opérations, p. 24). A cet égard, il n'a à ce jour fourni aucune explication permettant de justifier concrètement la remise d’une somme argent aussi importante, de sorte qu’il doit être retenu qu’il existe à ce stade des soupçons suffisants laissant présumer la commission d’une infraction. Pour le reste, la recourante se limite à indiquer que les biens séquestrés auraient d’une part été acquis au moyen de ses propres économies et, d’autre part, seraient des cadeaux de ses sœurs notamment. Ces simples déclarations, qui ne sont pas étayées, sont insuffisantes à elles seules pour établir ou même rendre très vraisemblable qu'elle ne se trouve pas dans la situation d'un tiers favorisé (cf. ATF 140 IV 57 consid. 4.1.2, JdT 2014 IV 305) et il n'est à ce stade pas démontré que les conditions de l'art. 70 al. 2 CP seraient remplies à son égard, ni encore qu'elle serait de bonne foi. Enfin, le séquestre est proportionné compte tenu du caractère luxueux et donc superflu des biens séquestres. Le séquestre est ainsi pleinement justifié sur la base des art. 263 al. 1 litt. d CPP et 71 al. 1 CP.</w:t>
      </w:r>
    </w:p>
    <w:p>
      <w:r>
        <w:rPr>
          <w:b/>
        </w:rPr>
        <w:t>E. 3</w:t>
      </w:r>
    </w:p>
    <w:p>
      <w:r>
        <w:t>En définitive, le recours interjeté par P.________, manifestement mal fondé, doit être rejeté sans échange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25 mai 2022 est confirmée. III. Les frais d’arrêt, par 880 fr. (huit cent huitante francs), sont mis à la charge de P.________. IV. L’arrêt est exécutoire. La présidente :               Le greffier : Du Le présent arrêt, dont la rédaction a été approuvée à huis clos, est notifié, par l'envoi d'une copie complète, à : - Mme P.________,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