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501 vom 28. Juni 2022</w:t>
      </w:r>
    </w:p>
    <w:p>
      <w:r>
        <w:t>VD Tribunal cantonal, 2022-06-28, FR</w:t>
      </w:r>
    </w:p>
    <w:p>
      <w:r>
        <w:rPr>
          <w:b/>
        </w:rPr>
        <w:t xml:space="preserve">Quelle: </w:t>
      </w:r>
      <w:r>
        <w:t>https://mcp.opencaselaw.ch/entscheid/vd_findinfo_D_cision___2022___501</w:t>
      </w:r>
    </w:p>
    <w:p>
      <w:r>
        <w:t>FR: VD_FINDINFO Décision / 2022 / 501 du 28 juin 2022</w:t>
      </w:r>
    </w:p>
    <w:p>
      <w:r>
        <w:t>IT: VD_FINDINFO Décision / 2022 / 501 del 28 giugno 2022</w:t>
      </w:r>
    </w:p>
    <w:p>
      <w:pPr>
        <w:pStyle w:val="Heading2"/>
      </w:pPr>
      <w:r>
        <w:t>Regeste</w:t>
      </w:r>
    </w:p>
    <w:p>
      <w:r>
        <w:t>ADMINISTRATION DES PREUVES, DOMMAGE IRRÉPARABLE, DÉCISION D'IRRECEVABILITÉ, CHANCES DE SUCCÈS, DOSSIER | 194 CPP (CH), 394 let. b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 Donatsch/ Hansjakob/Lieber [éd.], Kommentar zur Schweizerischen Strafprozessordnung, 2 e éd., Zurich/Bâle/Genève 2014, n. 16 ad art. 393 CPP; CREP 29 décembre 2021/1185 consid. 1.1).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A teneur de l'art. 194 al. 1 CPP, le ministère public et les tribunaux requièrent les dossiers d'autres procédures lorsque cela est nécessaire pour établir les faits ou pour juger le prévenu. Cet article prévoit l'obligation de principe pour les autorités judiciaires et administratives d'ouvrir leurs dossiers aux autorités pénales (Poncet Carnicé, in : Commentaire romand, Code de procédure pénale suisse, 2 e éd., Bâle 2019, n. 3 ad art. 194 CPP). Toutefois, selon l'art. 394 let. b CPP, le recours est irrecevable lorsque le ministère public ou l'autorité pénale compétente en matière de contraventions rejette une réquisition de preuves qui peut être réitérée sans préjudice juridique devant le tribunal de première instance. En adoptant l'art. 394 let. b CPP, le législateur fédéral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En l'absence de précision sur cette notion dans la loi ou dans les travaux préparatoires, la jurisprudence a précisé que le préjudice juridique évoqué à l'art. 394 let. b CPP ne se différenciait pas du préjudice irréparable visé à l'art. 93 al. 1 let. a LTF, lequel s'entend, en droit pénal, d'un dommage juridique à l'exclusion d'un dommage de pur fait tel l'allongement ou le renchérissement de la procédure.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 la possibilité théorique que des moyens de preuve soient détruits ou perdus ne suffit pas (TF 1B_145/2020 du 26 mars 2020 consid. 2.2 ; TF 1B_193/2019 du 23 septembre 2019 consid. 2.1 et les références citées).</w:t>
      </w:r>
    </w:p>
    <w:p>
      <w:r>
        <w:rPr>
          <w:b/>
        </w:rPr>
        <w:t>E. 1.3</w:t>
      </w:r>
    </w:p>
    <w:p>
      <w:r>
        <w:t>En l’espèce, Z.________, qui a interjeté recours dans le délai légal auprès de l’autorité compétente, commence par soutenir qu’il a un intérêt juridiquement protégé à recourir et à contester une décision négative à l’égard de sa demande fondée sur l’art. 194 al. 1 CPP. Toutefois, il n’expose pas en quoi les circonstances invoquées seraient déterminantes sous l’angle de l’art. 394 let. b CPP. Pourtant, le Ministère public avait abordé cette problématique à la fin de la motivation de son ordonnance en retenant que le moyen de preuve requis pouvait « être demandé en tout temps sans préjudice juridique » . Sur ce point, le recours souffre donc d’un défaut de motivation car le recourant ne cherche pas à démontrer que cette question doit être tranchée immédiatement. Contrairement à ce qu’il soutient, il n’est pas rare qu’une victime entendue dans une affaire s’exprime spontanément sur une autre affaire. En effet, une fois que la parole est libérée et que les barrières psychologiques tombent, la victime peut se mettre alors à dévoiler des faits n’ayant aucun rapport entre eux et qu’elle n’avait jamais révélés jusque-là. Les circonstances dont le recourant fait grand cas et qui entourent le dépôt de la plainte pénale déposée contre lui dans la présente cause ne sortent donc pas de l’ordinaire et le recourant ne démontre aucunement la vraisemblance d’un risque de préjudice irréparable en l’absence de recours ouvert à ce stade. De toute manière, comme la Chambre de céans l’a relevé dans son arrêt du 21 mars 2022, le dossier de la présente cause fait apparaître des indices concrets de culpabilité, ce qui a justifié le maintien du prévenu en détention provisoire. Dans la mesure où ces éléments sont totalement indépendants du dossier dont le recourant demande la production, on ne voit pas en quoi celui-ci serait déterminant à cet égard, le recourant ne l’exposant pas concrètement.</w:t>
      </w:r>
    </w:p>
    <w:p>
      <w:r>
        <w:rPr>
          <w:b/>
        </w:rPr>
        <w:t>E. 2</w:t>
      </w:r>
    </w:p>
    <w:p>
      <w:r>
        <w:t>Au vu de ce qui précède, le recours doit être déclaré irrecevable sans échange d’écritures (art. 390 al. 2 CPP). Les frais de la procédure de recours, constitués en l’espèce du seul émolument d’arrêt, par 880 fr. (art. 20 al. 1 TFIP [tarif des frais de procédure et indemnités en matière pénale du 28 septembre 2010 ; RSV 312.03.1]), seront mis à la charge du recourant, qui succombe (art. 428 al. 1 CPP). Il n’y a en outre pas lieu d’indemniser Me Simon Perroud, dès lors que le recours, dépourvu de toute argumentation concernant sa recevabilité au regard de l’art. 394 let. b CPP, était voué à l’échec et n’entrait donc pas dans les opérations nécessaires à la sauvegarde des intérêts du recourant (cf. TF 1B_31/2022 du 11 février 2022 consid. 4.2). Par ces motifs, la Chambre des recours pénale prononce : I. Le recours est irrecevable. II. Il n’est pas alloué d’indemnité à Me Simon Perroud pour la présente procédure de recours. III. Les frais d’arrêt, par 880 fr. (huit cent huitante francs), sont mis à la charge de Z.________. IV. L’arrêt est exécutoire. La présidente :               Le greffier : Du Le présent arrêt, dont la rédaction a été approuvée à huis clos, est notifié, par l'envoi d'une copie complète, à : - Me Simon Perroud, avocat (pour 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