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496 vom 1. Juni 2022</w:t>
      </w:r>
    </w:p>
    <w:p>
      <w:r>
        <w:t>VD Tribunal cantonal, 2022-06-01, FR</w:t>
      </w:r>
    </w:p>
    <w:p>
      <w:r>
        <w:rPr>
          <w:b/>
        </w:rPr>
        <w:t xml:space="preserve">Quelle: </w:t>
      </w:r>
      <w:r>
        <w:t>https://mcp.opencaselaw.ch/entscheid/vd_findinfo_D_cision___2022___496</w:t>
      </w:r>
    </w:p>
    <w:p>
      <w:r>
        <w:t>FR: VD_FINDINFO Décision / 2022 / 496 du 1 juin 2022</w:t>
      </w:r>
    </w:p>
    <w:p>
      <w:r>
        <w:t>IT: VD_FINDINFO Décision / 2022 / 496 del 1 giugno 2022</w:t>
      </w:r>
    </w:p>
    <w:p>
      <w:pPr>
        <w:pStyle w:val="Heading2"/>
      </w:pPr>
      <w:r>
        <w:t>Regeste</w:t>
      </w:r>
    </w:p>
    <w:p>
      <w:r>
        <w:t>DÉTENU, INTÉRÊT JURIDIQUEMENT PROTÉGÉ, INDEMNITÉ{EN GÉNÉRAL}, DÉCISION D'IRRECEVABILITÉ, MESURE DISCIPLINAIRE | 13 CEDH, 3 CEDH, 11 LEP, 38 LEP, 382 al. 1 CPP (CH)</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matière de sanctions disciplinaires, l’art. 38 al. 3 LEP restreint les motifs de recours admissibles à ceux fixés aux art. 95 et 97 LTF (loi sur le Tribunal fédéral du 17 juin 2005 ; RS 173.110). Or, dans une jurisprudence récente (TF 6B_887/2021 du 24 mai 2022 consid. 6.3), le Tribunal fédéral a considéré que cette disposition viole la garantie d’accès au juge prévue par l’art. 29a Cst. dans la mesure où elle restreint le pouvoir d’examen de l’autorité de recours. Il y a en conséquence lieu d’examiner la cause avec un plein pouvoir d’examen en fait et en droit.</w:t>
      </w:r>
    </w:p>
    <w:p>
      <w:r>
        <w:rPr>
          <w:b/>
        </w:rPr>
        <w:t>E. 1.2</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 TF 1B_275/2020 du 22 septembre 2020 consid. 3.2). Par ailleurs, le recourant doit avoir un intérêt actuel et pratique au recours, respectivement à l’examen des griefs soulevés (ATF 146 II 335 consid. 1.3 ; ATF 142 I 135 consid. 1.3.1 ; TF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 TF 6B_988/2020 du 12 novembre 2020 consid. 1.2 ; TF 1B_157/2019 du 9 juillet 2019 consid. 2 et les arrêts cités).</w:t>
      </w:r>
    </w:p>
    <w:p>
      <w:r>
        <w:rPr>
          <w:b/>
        </w:rPr>
        <w:t>E. 1.3</w:t>
      </w:r>
    </w:p>
    <w:p>
      <w:r>
        <w:t>Conformément à l'art. 13 CEDH (Convention de sauvegarde des droits de l'homme et des libertés fondamentales du 4 novembre 1950 ; RS 0.101)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l'art. 3 CEDH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l'art. 3 CEDH (sur ces questions cf. arrêt CourEDH Yengo c. France, requête n° 50494/12 du 21 mai 2015, § 59 et les références citées ; cf. TF 6B_1008/2015 et 6B_1071/2015 du 18 juillet 2016 consid. 6.1). Selon l’art. 11 al. 3 LEP, le juge d’application des peines est le garant de la légalité de l’exécution des condamnations pénales. L’art. 11 al. 3 LEP ne peut dès lors pas être compris comme ouvrant une voie générale d’action, parallèlement aux autres voies de droit (notamment de recours) prévues par la LEP ou par les règlements fondés sur elle. Le Juge d’application des peines ne peut être saisi sur la base de l’art. 11 al. 3 LEP que s’il n’existe pas d’autre voie pour faire contrôler la légalité de l’exécution de la peine. En outre, l’art. 11 al. 3 LEP n’apporte aucune dérogation au principe selon lequel, sous réserve d’exceptions résultant du droit à un recours national effectif garanti par l’art. 13 CEDH ou déduites d’autres dispositions légales ou conventionnelles expresses, des conclusions constatatoires ne sont recevables que lorsque des conclusions formatrices ou condamnatoires sont exclues (sur ce principe : ATF 141 IV 349 consid. 3.4.2 et les références citées).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(CREP 12 août 2021/735 consid. 3.1). Aucune disposition du Code pénal, ni aucune disposition de la LEP et des règlements fondés sur elle n’ouvrent une action en constatation de l’illicéité des conditions de détention au condamné qui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(CREP 12 août 2021/735 consid. 3.2).</w:t>
      </w:r>
    </w:p>
    <w:p>
      <w:r>
        <w:rPr>
          <w:b/>
        </w:rPr>
        <w:t>E. 1.4</w:t>
      </w:r>
    </w:p>
    <w:p>
      <w:r>
        <w:t>En l’espèce, le recours de X.________ a été interjeté en temps utile devant l’autorité compétente. Il convient toutefois de constater que la sanction disciplinaire a été annulée dans la décision attaquée et que, dans ces conditions, le recourant n’a pas d’intérêt actuel à contester cette décision qui lui donne raison sur ce point. Le recourant demande une indemnité pour les trois jours d’arrêt qu’il a « subis injustement » . Or, la décision entreprise se limite à annuler la décision de sanction et à restituer à l’intéressé la rémunération qu’il n’a pas pu percevoir durant ces trois jours d’arrêt. Elle n’alloue pas au recourant d’indemnité pour la sanction annulée, qui a été exécutée. Le condamné n’a pas requis d’indemnité dans son recours du 11 novembre 2021 contre sa sanction, interjeté le jour de la notification de la décision, ce qu’on ne peut pas lui reprocher dès lors que la sanction n’était pas encore exécutée. Il n’a néanmoins pas requis un constat de l’illicéité (cf. TF 1B_550/2021 précité) ni demandé l’allocation d’une indemnité après avoir subi sa sanction, et la décision ne se prononce ainsi pas sur ces points. Il s’ensuit que son recours tendant à l’octroi d’une indemnité est dans cette mesure irrecevable. Le recourant compare les conditions dans lesquelles les arrêts se déroulent à de la torture et affirme que cette situation s’apparente à passer « trois nuits enfermé dans un tombeau » . Il se plaint notamment du fait que la fenêtre est soudée, de l’absence de possibilité d’avoir des objets personnels, en particulier de montre, et de la ventilation. Il ne prend pas formellement de conclusion en constatation. Or en l’absence de décision de première instance sur la licéité des modalités de cette détention, la Cour de céans ne saurait entrer en matière. Il n’y a en effet pas de saisine directe de la Chambre des recours pénale pour constater des conditions de détention qui seraient, le cas échéant, contraires à la CEDH. Le recours est ainsi à cet égard aussi irrecevable.</w:t>
      </w:r>
    </w:p>
    <w:p>
      <w:r>
        <w:rPr>
          <w:b/>
        </w:rPr>
        <w:t>E. 2</w:t>
      </w:r>
    </w:p>
    <w:p>
      <w:r>
        <w:t>Il résulte de ce qui précède que le recours doit être déclaré irrecevable, sans échange d’écritures (art. 390 al. 2 CPP). Le recourant a requis la désignation de Me Kathrin Gruber en qualité de défenseur d’office pour la procédure de recours. Vu le sort du recours, celui-ci étant irrecevable et, partant, d’emblée dénué de chance de succès (TF 6B_1322/2021 du 11 mars 2022 consid. 4.1 et les références citées. ; cf. ég. CREP 2 mars 2022/124 consid. 3.2 ; CREP 12 août 2021/735 consid. 5 ; CREP 29 avril 2019/344 et la référence citée), la désignation d’un défenseur d’office n’était pas justifiée pour sauvegarder les intérêts du recourant (art. 132 CPP applicable à titre de droit cantonal supplétif et 18 LPA-VD [loi sur la procédure administrative du 28 octobre 2008 ; BLV 173.36] ; CREP 1 er avril 2022/224 consid. 4). Cette requête doit donc être rejetée. Vu les circonstances, les frais de la procédure de recours, constitués en l’espèce du seul émolument d’arrêt, par 770 fr. (art. 20 al. 1 TFIP [tarif des frais de procédure et indemnité en matière pénale du 28 septembre 2010 ; BLV 312.03.1]), seront laissés à la charge de l’Etat (art. 423 CPP). Par ces motifs, la Chambre des recours pénale prononce : I. Le recours est irrecevable. II. La requête tendant à la désignation de Me Kathrin Gruber en tant que défenseur d’office pour la procédure de recours est rejetée. III. Les frais d’arrêt, par 770 fr. (sept cent septante francs), sont laissés à la charge de l’Etat. IV. L’arrêt est exécutoire. La présidente :               Le greffier : Du Le présent arrêt, dont la rédaction a été approuvée à huis clos, est notifié, par l'envoi d'une copie complète, à : - M. X.________, - Ministère public central, et communiqué à : ‑ Mme la Cheffe du Service pénitentiaire, - Direction d 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