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495 vom 4. Juli 2022</w:t>
      </w:r>
    </w:p>
    <w:p>
      <w:r>
        <w:t>VD Tribunal cantonal, 2022-07-04, FR</w:t>
      </w:r>
    </w:p>
    <w:p>
      <w:r>
        <w:rPr>
          <w:b/>
        </w:rPr>
        <w:t xml:space="preserve">Quelle: </w:t>
      </w:r>
      <w:r>
        <w:t>https://mcp.opencaselaw.ch/entscheid/vd_findinfo_D_cision___2022___495</w:t>
      </w:r>
    </w:p>
    <w:p>
      <w:r>
        <w:t>FR: VD_FINDINFO Décision / 2022 / 495 du 4 juillet 2022</w:t>
      </w:r>
    </w:p>
    <w:p>
      <w:r>
        <w:t>IT: VD_FINDINFO Décision / 2022 / 495 del 4 luglio 2022</w:t>
      </w:r>
    </w:p>
    <w:p>
      <w:pPr>
        <w:pStyle w:val="Heading2"/>
      </w:pPr>
      <w:r>
        <w:t>Regeste</w:t>
      </w:r>
    </w:p>
    <w:p>
      <w:r>
        <w:t>DROIT D'ÊTRE ENTENDU, DÉTENTION PROVISOIRE, SOUPÇON, COMMERCE DE STUPÉFIANTS | 29 al. 2 Cst.,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de V.________ est recevable.</w:t>
      </w:r>
    </w:p>
    <w:p>
      <w:r>
        <w:rPr>
          <w:b/>
        </w:rPr>
        <w:t>E. 2.1</w:t>
      </w:r>
    </w:p>
    <w:p>
      <w:r>
        <w:t>Le recourant soutient que la condition des forts soupçons de commission d’une infraction ne serait pas réalisée. En lien avec ce moyen, il invoque une violation du droit d’être entendu, l’ordonnance contestée ne contenant selon lui pas de motivation suffisante et le premier juge n’ayant pas traité les griefs qu’il avait déjà soulevés dans ses déterminations. Il relève que le Tribunal des mesures de contrainte ne se serait fondé que sur deux éléments pour ordonner sa détention provisoire, soit le raccordement téléphonique qu’il utilisait et l’ADN retrouvé sur le shaker. Or, s’agissant du premier élément, l’autorité intimée se bornerait à affirmer que le téléphone contiendrait des preuves de son implication dans un trafic, sans aucun élément concret. S’agissant de l’ADN, le recourant précise que celui-ci n’aurait pas été retrouvé sur le shaker contenant les stupéfiants, mais uniquement sur un sachet en plastique qui contenait ce shaker. Or, son colocataire L.________ aurait admis avoir participé à un trafic de stupéfiants, de sorte qu’il serait plausible que l’ADN se soit retrouvé sur le sachet en plastique parce qu’il provenait de l’appartement qu’ils occupaient en commun. La condition des soupçons suffisants de culpabilité n’étant pas démontrée, le recourant devrait être immédiatement libéré. Subsidiairement, l’ordonnance contestée serait à ce point déficiente dans sa motivation qu’elle devrait, en tout état de cause, être annulée.</w:t>
      </w:r>
    </w:p>
    <w:p>
      <w:r>
        <w:rPr>
          <w:b/>
        </w:rPr>
        <w:t>E. 2.2.1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et à l'autorité de recours d'exercer utilement son contrôle (ATF 143 IV 40 consid. 3.4.3 ; ATF 141 IV 249 consid. 1.3.1, JdT 2016 IV 170 ; TF 6B_1122/2021 du 20 juin 2022 consid. 1.3.1). Pour satisfaire à ces exigences, l’autorité doit mentionner, au moins brièvement, les motifs qui l'ont guidée et sur lesquels elle a fondé sa décision, afin que l'intéressé puisse se rendre compte de la portée de celle-ci et l'attaquer en connaissance de cause ; elle n’est cependant pas tenue de discuter tous les arguments soulevés par les parties mais peut se limiter à ceux qu’elle juge pertinents (ATF 143 III 65 consid. 5.2, JdT 2017 II 359 ; ATF 142 III 433 consid. 4.3.2, JdT 2016 II 347 ; TF 6B_1122/2021 du 20 juin 2022 consid. 1.3.1). La motivation peut d'ailleurs être implicite et résulter des différents considérants de la décision (ATF 141 V 557 consid. 3.2.1 ; TF 6B_5/2022 du 8 juin 2022 consid. 2.1.1 ; TF 6B_817/2020 du 23 décembre 2020 consid. 1.2). Le droit d'être entendu est une garantie constitutionnelle de caractère formel, dont la violation doit entraîner l'annulation de la décision, indépendamment des chances de succès du recours sur le fond (ATF 143 IV 380 consid. 1.4.1 ;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 citées ; TF 6B_1135/2021 du 9 mai 2022 consid. 1.1). La Chambre des recours pénale dispose d'un pouvoir d'examen complet en fait et en droit, permettant de guérir un tel vice procédural (art. 389 al. 3 et 391 al. 1 CPP ; CREP 13 mai 2022/346 ; CREP 19 mai 2020/378 ; CREP 20 août 2013/530).</w:t>
      </w:r>
    </w:p>
    <w:p>
      <w:r>
        <w:rPr>
          <w:b/>
        </w:rPr>
        <w:t>E. 2.2.2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JdT 2018 IV 17 ; ATF 137 IV 122 consid. 3.2, JdT 2012 IV 79 ; TF 1B_88/2022 du 29 mars 2022 consid. 2.1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JdT 2018 IV 39 ; ATF 137 IV 122 consid. 3.2 ; ATF 124 I 208 consid. 3 ; TF 1B_131/2022 du 25 mars 2022 consid. 3.1 ; Forster, in : Niggli/ Heer/Wiprächtiger [éd.], Basler Kommentar, Schweizerische Strafprozessordnung, 2 e éd., Bâle 2014, n. 3 ad art. 221 CPP ).</w:t>
      </w:r>
    </w:p>
    <w:p>
      <w:r>
        <w:rPr>
          <w:b/>
        </w:rPr>
        <w:t>E. 2.3</w:t>
      </w:r>
    </w:p>
    <w:p>
      <w:r>
        <w:t>En l’espèce, le premier juge a dûment exposé, sur près d’une page, les motifs pour lesquels il considérait que la condition des forts soupçons de commission d’un crime ou d’un délit était réalisée – étant précisé qu’il n’était pas tenu, dans ce cadre, de reprendre l’intégralité des arguments présentés par le prévenu, sans pour autant que cela emporte une violation de son droit d’être entendu. Force est d’ailleurs de constater que le recourant a pu attaquer l’ordonnance en toute connaissance de cause. De toute manière, une éventuelle violation du droit d’être entendu pourrait être réparée sans préjudice pour l’intéressé par la Chambre de céans, qui dispose d’un plein pouvoir d’examen en fait et en droit. A ce stade très précoce de l’enquête, l’ADN du recourant identifié sur un sachet en plastique se révèle un indice particulièrement probant et en tous les cas suffisant pour le lier au trafic de stupéfiants reproché. Il paraît en effet beaucoup plus vraisemblable que la présence de son ADN s’explique par le fait que c’est bien lui qui a manipulé le sachet et dissimulé la drogue, plutôt que par le fait que cet objet se trouvait dans l’appartement qu’il occupait en commun avec L.________. En outre, le recourant se méprend lorsqu’il affirme que son ADN aurait été trouvé sur un sachet plastique servant uniquement à emballer le shaker contenant les produits stupéfiants. En réalité, il ressort du rapport de la BPS que seuls les fingers de cocaïne étaient emballés dans deux sachets en plastique, dont l’extérieur était noué, le tout étant enfermé dans un shaker retrouvé tel quel dans la forêt [...] (P. 8/1). Or, l’ADN de V.________ a été retrouvé tant sur le nœud du sac plastique extérieur que sur le sac plastique intérieur contenant la marchandise. Il existe donc peu de doutes quant au fait que le prévenu a bien manipulé les stupéfiants et les a lui-même emballés dans le shaker retrouvé par la suite dans des bois situés à proximité de son logement clandestin. S’agissant du raccordement téléphonique utilisé, il est vrai qu’aucun élément concret ne ressort de l’ordonnance entreprise ni de la demande du Ministère public, qui se contente de relever que le contrôle téléphonique rétroactif a permis de confirmer que l’intéressé était lié à un trafic de stupéfiants. On relève cependant que la Brigade des stupéfiants précise, dans son rapport du 15 juin 2022 (P. 14), que la surveillance téléphonique avait permis d’identifier des consommateurs de stupéfiants, ce qui constitue tout de même un indice sérieux de l’utilisation du raccordement litigieux dans le cadre d’un trafic. Quoi qu’il en soit, vu le premier élément de l’ADN, qui constitue un indice particulièrement concret, l’élément du raccordement téléphonique n’est pas décisif. Il conviendra cependant que le Ministère public précise ultérieurement en quoi les enregistrements téléphoniques permettent de confirmer le trafic de stupéfiants imputé au recourant. Le recourant relève encore qu’il a admis avoir consommé du cannabis et de la cocaïne et qu’il n’a jamais nié être le propriétaire des stupéfiants retrouvés chez lui, ce qui démontrerait sa collaboration à l’enquête, que les déclarations de L.________ correspondraient parfaitement aux siennes et que son casier judiciaire ne comporterait aucune condamnation et a fortiori aucune condamnation pour des faits en lien avec des stupéfiants. Ces éléments ne sont cependant pas déterminants au vu du premier indice important et très concret précité. En définitive, le moyen du recourant doit être rejeté, la condition des graves soupçons de culpabilité d'avoir commis un crime ou un délit étant réalisée.</w:t>
      </w:r>
    </w:p>
    <w:p>
      <w:r>
        <w:rPr>
          <w:b/>
        </w:rPr>
        <w:t>E. 3</w:t>
      </w:r>
    </w:p>
    <w:p>
      <w:r>
        <w:t>Le recourant ne développe aucun moyen en lien avec le risque de collusion retenu par le Tribunal des mesures de contrainte. L’existence d’un tel risque doit être confirmée. Des mesures d’instruction, consistant notamment en des vérifications sur le téléphone portable du prévenu afin de déterminer l’étendue et l’ampleur de l’activité délictuelle, doivent en effet être mises en œuvre et il importe donc que le recourant ne puisse pas interférer dans l’exécution de ces mesures en prenant contact avec des tiers et en compromettant ainsi la recherche de la vérité. On ajoute que le risque de fuite, qui n’a pas été examiné plus avant par le premier juge, est patent, s’agissant d’un ressortissant [...] en situation illégale en Suisse et qui fait l’objet, en plus de la présente enquête, d’une autre procédure pénale ouverte contre lui notamment pour viol, ensuite d’une plainte déposée par la mère de son enfant.</w:t>
      </w:r>
    </w:p>
    <w:p>
      <w:r>
        <w:rPr>
          <w:b/>
        </w:rPr>
        <w:t>E. 4</w:t>
      </w:r>
    </w:p>
    <w:p>
      <w:r>
        <w:t>Enfin, la durée de détention provisoire de trois mois ordonnée apparaît proportionnée au vu des opérations d’enquête à effectuer et des infractions envisagées, l’infraction grave à la Loi sur les stupéfiants étant passible d’une peine privative de liberté d’un an au moins (cf. art. 19 al. 2 LStup [Loi fédérale sur les stupéfiants et les substances psychotropes du 3 octobre 1951 ; RS 812.121]). Aucune mesure de substitution à la détention n’apparaît au demeurant susceptible de pallier les risques de fuite et de collusion constatés. Le recourant n’en propose du reste aucune.</w:t>
      </w:r>
    </w:p>
    <w:p>
      <w:r>
        <w:rPr>
          <w:b/>
        </w:rPr>
        <w:t>E. 5</w:t>
      </w:r>
    </w:p>
    <w:p>
      <w:r>
        <w:t>Il résulte de ce qui précède que le recours, manifestement mal fondé, doit être rejeté sans échange d’écritures (art. 390 al. 2 CPP) et l’ordonnance contestée confirmée. Le défenseur d’office du recourant a produit une liste des opérations et débours (P. 20/2/2) faisant état d’un temps consacré à la procédure de recours de 3,55 heures. La durée annoncée pour la rédaction du mémoire de recours, de 1,3 heures, est correcte. En revanche, celle comptabilisée pour les études de dossier, de 2,05 heures au total, est trop élevée ; il y a lieu de la ramener à 1,25 heures, ce qui apparaît suffisant au vu de la nature et de la difficulté de la cause. L’opération de 0,2 heures annoncée pour le courrier d’accompagnement au recours doit également être supprimée, s’agissant de pur travail de secrétariat. En définitive, l’indemnité de Me Jonathan Rutschmann doit être fixée à 459 fr. (2,55 heures d’activité au tarif horaire de 180 fr.), auquel il convient d’ajouter des débours – limités forfaitairement à 2 % du défraiement hors taxe en deuxième instance ( cf. art. 3bis al. 1 RAJ [Règlement sur l’assistance judiciaire en matière civile du 7 décembre 2010 ; BLV 211.02.3], applicable par renvoi de l’art. 26b TFIP [Tarif des frais de procédure et indemnités en matière pénale du 28 septembre 2010 ; BLV 312.03.1]) – , par 9 fr. 20, soit à un total de 469 fr. en chiffres arrondis, étant encore précisé que Me Rutschmann a annoncé ne pas être assujetti à la TVA. Les frais de la procédure de recours, constitués de l’émolument d’arrêt, par 1'100 fr. ( art. 20 al. 1 TFIP), et des frais imputables à la défense d’office (art. 422 al. 1 et 2 let. a CPP), par 469 fr.,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17 juin 2022 est confirmée. III. L’indemnité allouée au défenseur d’office de V.________ est fixée à 469 fr. (quatre cent soixante-neuf francs). IV. Les frais d’arrêt, par 1'100 fr. (mille cent francs), ainsi que l’indemnité due au défenseur d’office de V.________, par 469 fr. (quatre cent soixante-neuf francs), sont mis à la charge de ce dernier. V. Le remboursement à l’Etat de l’indemnité allouée au chiffre III ci-dessus ne sera exigible que pour autant que la situation financière de V.________ le permette. VI. L’arrêt est exécutoire. La présidente : La greffière : Du Le présent arrêt, dont la rédaction a été approuvée à huis clos, est notifié, par l'envoi d'une copie complète, à : - Me Jonathan Rutschmann, avocat (pour V.________),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