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481 vom 28. Juni 2022</w:t>
      </w:r>
    </w:p>
    <w:p>
      <w:r>
        <w:t>VD Tribunal cantonal, 2022-06-28, FR</w:t>
      </w:r>
    </w:p>
    <w:p>
      <w:r>
        <w:rPr>
          <w:b/>
        </w:rPr>
        <w:t xml:space="preserve">Quelle: </w:t>
      </w:r>
      <w:r>
        <w:t>https://mcp.opencaselaw.ch/entscheid/vd_findinfo_D_cision___2022___481</w:t>
      </w:r>
    </w:p>
    <w:p>
      <w:r>
        <w:t>FR: VD_FINDINFO Décision / 2022 / 481 du 28 juin 2022</w:t>
      </w:r>
    </w:p>
    <w:p>
      <w:r>
        <w:t>IT: VD_FINDINFO Décision / 2022 / 481 del 28 giugno 2022</w:t>
      </w:r>
    </w:p>
    <w:p>
      <w:pPr>
        <w:pStyle w:val="Heading2"/>
      </w:pPr>
      <w:r>
        <w:t>Regeste</w:t>
      </w:r>
    </w:p>
    <w:p>
      <w:r>
        <w:t>PROLONGATION, REJET DE LA DEMANDE, DÉTENTION AUX FINS D'EXPULSION, CRIME, PROPORTIONNALITÉ, RENVOI{DROIT DES ÉTRANGERS} | 75 al. 1 let. h LEI, 76 al. 1 let. b ch. 3 LEI, 76 al. 1 let. b ch. 4 LEI, 79 al. 2 LEI, 80 al. 6 LEI</w:t>
      </w:r>
    </w:p>
    <w:p>
      <w:pPr>
        <w:pStyle w:val="Heading2"/>
      </w:pPr>
      <w:r>
        <w:t>Erwägungen</w:t>
      </w:r>
    </w:p>
    <w:p>
      <w:r>
        <w:rPr>
          <w:b/>
        </w:rPr>
        <w:t>E. 1.1</w:t>
      </w:r>
    </w:p>
    <w:p>
      <w:r>
        <w:t>Le Tribunal des mesures de contrainte statue sur la légalité et l’adéquation de la détention administrative, conformément aux art. 80 al. 2 LEI et 11 al. 1 et 16a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 intérêt digne de protection à l’annulation de l’ordonnance querellée, l’acte déposé le 20 juin 2022 est recevable.</w:t>
      </w:r>
    </w:p>
    <w:p>
      <w:r>
        <w:rPr>
          <w:b/>
        </w:rPr>
        <w:t>E. 1.2</w:t>
      </w:r>
    </w:p>
    <w:p>
      <w:r>
        <w:t>La Chambre des recours pénale revoit librement la décision de première instance ; elle établit les faits d’office et peut ordonner à cet effet toutes les mesures d’instruction qu’elle juge utiles (art. 31 al. 1 et 2 LVLEI). Elle peut en particulier tenir compte des faits postérieurs à la décision attaquée (CREP 25 février 2022/139 ; CREP 9 août 2021/688). Le Tribunal statue à bref délai (art. 31 al. 4 LVLEI). Elle applique au surplus LPA-VD (art. 31 al. 6 LVLEI).</w:t>
      </w:r>
    </w:p>
    <w:p>
      <w:r>
        <w:rPr>
          <w:b/>
        </w:rPr>
        <w:t>E. 2.1</w:t>
      </w:r>
    </w:p>
    <w:p>
      <w:r>
        <w:t>Le recourant invoque une violation de l’art. 80 al. 6 let. a LEI. Il prétend que son renvoi serait impossible car il aurait des dettes de jeu en [...] et que sa vie serait donc mise en péril s’il était renvoyé dans ce pays. Le recourant soutient que, à l’avenir, le renvoi en [...] ne pourrait pas être organisé par un vol spécial et que rien au dossier n’indiquerait qu’un laissez-passer aurait formellement été délivré par les autorités [...], de sorte qu’aucun renvoi par la force ne pourrait être effectué.</w:t>
      </w:r>
    </w:p>
    <w:p>
      <w:r>
        <w:rPr>
          <w:b/>
        </w:rPr>
        <w:t>E. 2.2.1</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LEI, intitulé « Détention en vue du renvoi ou de l’expulsion », dispose à son al. 1 let. b, qu’après notification d’une décision de première instance de renvoi ou d’expulsion au sens de la LEI ou d’une décision de première instance d’expulsion au sens des art. 66a ou 66a bis CP (Code pénal suisse du 21 décembre 1937 ; RS 311.0) ou 49a ou 49a bis CPM (Code pénal militaire fédéral du 13 juin 1927 ; RS 321.0), l’autorité compétente peut, afin d’en assurer l’exécution, mettre en détention la personne concernée pour les motifs cités à l’art. 75 al. 1 let. a, b, c, f, g ou h LEI – à savoir notamment lorsqu’elle franchit la frontière malgré une interdiction d’entrer en Suisse et ne peut pas être renvoyée immédiatement (art. 75 al. 1 let. c LEI), lorsqu’elle séjourne illégalement en Suisse et dépose une demande d’asile dans le but manifeste d’empêcher l’exécution d’un renvoi ou d’une expulsion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En vertu de l’art. 76 al. 1 let. b ch. 3 et 4 LEI, l’autorité compétente peut également mettre en détention la personne concernée si des éléments concrets font craindre qu’elle entend se soustraire au renvoi ou à l’expulsion, en particulier parce qu’elle ne se soumet pas à son obligation de collaborer en vertu de l’art. 90 LEI ou de l’art. 8 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4 e éd., Zurich 2015, n. 6 ad art. 76 LEI). Selon la jurisprudence, ces motifs sont réalisés lorsque l’étranger a déjà disparu une première fois dans la clandestinité (ATF 140 II 1 précité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précité ; TF 2C_105/2016 précité ; TF 2C_951/2015 du 17 novembre 2015 consid. 2.2). D’après la jurisprudence du Tribunal fédéral, cette réglementation est en accord avec l’art. 15 ch. 5 et 6 de la Directive 2008/115/CE reprise par la Suisse par arrêté du 18 juin 2010 en tant que développement de l’acquis de Schengen et intégrée à la LEI (RS 0.362.380.042 ; JO L 348 du 24 décembre 2008 p. 98 ; ATF 145 II 313 consid. 3.1.1).</w:t>
      </w:r>
    </w:p>
    <w:p>
      <w:r>
        <w:rPr>
          <w:b/>
        </w:rPr>
        <w:t>E. 2.2.2</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précité consid. 3.1), ou qu’un Etat refuse de reprendre certains de ses ressortissants (ATF 125 Il 217 consid. 2 ; Göksu,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w:t>
      </w:r>
    </w:p>
    <w:p>
      <w:r>
        <w:rPr>
          <w:b/>
        </w:rPr>
        <w:t>E. 2.2.3</w:t>
      </w:r>
    </w:p>
    <w:p>
      <w:r>
        <w:t>L’art. 76 al. 4 LEI prévoit que les démarches nécessaires à l’exécution du renvoi ou de l’expulsion doivent être entreprises sans tarder. Il s’agit du principe de célérité ; il faut se demander si la détention prononcée et sa durée demeurent nécessaires et restent dans une mesure proportionnée au but poursuivi (TF 2C_18/2016 du 2 février 2016 consid. 4.2 ; TF 2C_218/2013 du 26 mars 2013 consid. 2.3 ; Chatton/Merz, Code annoté de droit des migrations, vol. Il, Berne 2017, n. 30 ad art. 76 LEtr).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(TF 2C_1132/2018 du 21 janvier 2019 consid. 5.1 ; ATF 139 I 206 consid. 2.1 et les références citées).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 Chatton/Merz, op. et loc. cit.).</w:t>
      </w:r>
    </w:p>
    <w:p>
      <w:r>
        <w:rPr>
          <w:b/>
        </w:rPr>
        <w:t>E. 2.2.4</w:t>
      </w:r>
    </w:p>
    <w:p>
      <w:r>
        <w:t>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durée de la détention administrative, envisagée dans son ensemble, doit toujours respecter le principe de la proportionnalité (ATF 145 II 313 précité consid. 3.1.2 et 3.5).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 ATF 143 I 147 consid. 3 ; ATF 142 I 135 consid. 4.1). Le maintien en détention en vue du renvoi ou de l’expulsion est disproportionné et donc illicite s’il y a des raisons sérieuses de penser que l’exécution ne puisse pas avoir lieu dans un délai raisonnable (TF 2C_637/2015 du 16 octobre 2015 consid. 7.1 et les références citées, rendu sous l’égide de l’ancienne LEtr mais toujours actuel ; TF 2C_1182/2014 du 20 janvier 2015 consid. 3.3.1 ; ATF 130 II 56 précité consid. 4.1.3 et les références citées).</w:t>
      </w:r>
    </w:p>
    <w:p>
      <w:r>
        <w:rPr>
          <w:b/>
        </w:rPr>
        <w:t>E. 2.3.1</w:t>
      </w:r>
    </w:p>
    <w:p>
      <w:r>
        <w:t>En l’espèce, le recourant a fait l’objet de douze condamnations depuis 2013, dont quatre pour crimes (cf. art. 10 al. 2 CP). Par jugement du 2 octobre 2019, le Tribunal de police de l’arrondissement de Lausanne l’a condamné notamment pour vol et a ordonné son expulsion au sens de l’art. 66a CP pour une durée de cinq ans (cf. supra let. d). Ce jugement est définitif et exécutoire depuis le 28 octobre 2019. Par ailleurs, il existe des éléments concrets faisant craindre qu’il entende se soustraire au renvoi et à l’expulsion judiciaire, notamment du fait qu’il a été renvoyé de Suisse, qu’il a disparu à deux reprises après ses libérations, alors qu’il faisait l’objet d’une interdiction d’entrée sur le territoire suisse à compter du 26 janvier 2017 jusqu’au 24 janvier 2023, et a ainsi dû faire l’objet d’un signalement au RIPOL. Il a également refusé de se soumettre à un test PCR et n’a, par conséquent, pas embarqué sur le vol qui avait été réservé à son intention à destination de son pays d’origine. En outre, lors de son audition devant le Tribunal des mesures de contrainte, le recourant a déclaré qu’il refusait de collaborer à un renvoi ou à une expulsion vers [...] et qu’il souhaitait se rendre en [...] (P. 4, ll. 31 à 33). Ainsi, les conditions légales pour sa mise en détention administrative sur la base de l’art. 76 al. 1 let. b ch. 1 LEI, en lien avec l’art. 75 al. 1 let. h LEI, d’une part, et l’art. 76 al. 1 let. b ch. 3 et 4 LEI, d’autre part, sont réunies, ce que le recourant ne conteste au demeurant pas.</w:t>
      </w:r>
    </w:p>
    <w:p>
      <w:r>
        <w:rPr>
          <w:b/>
        </w:rPr>
        <w:t>E. 2.3.2</w:t>
      </w:r>
    </w:p>
    <w:p>
      <w:r>
        <w:t>Le recourant soutient que sa vie serait mise en péril s’il devait être renvoyé en [...], en raison des dettes de jeu qu’il aurait dans ce pays. Cet argument ne repose que sur ses propres allégations. En outre, le fait qu’il n’ait jamais menti sur son identité ni donné d’alias aux autorités pénales ne permet pas d’attester de son honnêteté concernant l’existence de ses dettes de jeu en [...], lesquelles ne reposent ainsi que sur des allégations et non sur des éléments du dossier. De plus, même si le recourant avait de telles dettes de jeu, il n’explique pas ni a fortiori ne démontre en quoi sa vie serait mise en péril de ce fait. Enfin, aucun élément de fait ne permet de déduire qu’une expulsion forcée vers [...] ne serait pas possible. Au contraire, il ressort du dossier, en particulier de la pièce 5/2 du bordereau lié à l’affaire [...], que, selon le SEM, un vol à destination de l’[...] peut être réservé à tout moment, dès lors que « les vols DEPU et DEPA vers [...] sont à nouveau possibles selon la Newsletter du 14.02.2022 ». De plus, l’intéressé avait été identifié par les autorités [...] et celles-ci avaient déjà délivré un laissez-passer (P. 5/2 du bordereau lié à l’affaire [...]). Dans ces conditions, il n’existe aucun élément établissant que l’exécution du renvoi et de l’expulsion pénale serait impossible pour des raisons matérielles ou juridiques. Au contraire, il existe une possibilité très sérieuse d’y procéder dans un délai raisonnable, l’organisation d’un vol avec accompagnement policier vers [...] ayant été requise, en date du 19 avril 2022, par le SPOP, à la BRMI de la police cantonale vaudoise (P. 5/1 du bordereau de pièces lié à l’affaire [...]). Enfin, le recourant n’invoque pas que sa détention violerait le principe de proportionnalité, notamment quant à sa durée ou ses modalités. De toute manière, comme relevé à juste titre par le SPOP dans sa détermination, la durée de la détention est proportionnée au but visé et respecte les durées légales. En tout état de cause, il ne saurait se plaindre de la durée de sa détention dès lors que la non-exécution de la décision de renvoi et de la décision d’expulsion est due à son propre comportement, celui-ci ayant refusé de se soumettre à un test PCR lors de l’embarquement d’un vol organisé à son intention le 21 avril 2022 (TF 2C_696/2021 du 12 octobre 2021, consid. 4).</w:t>
      </w:r>
    </w:p>
    <w:p>
      <w:r>
        <w:rPr>
          <w:b/>
        </w:rPr>
        <w:t>E. 3</w:t>
      </w:r>
    </w:p>
    <w:p>
      <w:r>
        <w:t>En définitive, la détention administrative du recourant, conforme au droit, ne prête pas le flanc à la critique. Le recours doit être rejeté et l’ordonnance entreprise confirmée. S’agissant de la requête du recourant tendant à l’octroi de l’assistance judiciaire pour la procédure de recours, il y a lieu de relever que la désignation du 5 avril 2022 de Me Sarah Meyer en qualité de conseil d’office d’O.________ vaut également pour la procédure de recours (CREP 13 décembre 2021/1089 consid. 3 ; CREP 25 juillet 2013/454 et les références citées), de sorte que cette requête, en tant qu’elle vise la désignation d’un conseil d’office pour la procédure de recours, est sans objet. En tant qu’elle vise les frais de la procédure, elle est également sans objet, étant donné que les frais judiciaires peuvent être laissés à la charge de l’Etat (art. 50 LPA-VD ; CREP 13 décembre 2021/1089 ; CREP 26 août 2020/649). L’indemnité allouée au conseil d’office du recourant pour la procédure de recours sera ainsi fixée à 360 fr., correspondant à 2 h 00 d’activité nécessaire d’avocat (art. 18 al. 5 LPA-VD ; art. 2 al. 1 let. a et 3 al. 2 RAJ [Règlement sur l'assistance judiciaire en matière civile du 7 décembre 2010 ; BLV 211.02.3]), plus les débours forfaitaires, par 7 fr. 20 (art. 3 bis al. 1 RAJ), ainsi que la TVA, par 28 fr. 25, de sorte que l’indemnité d’office sera arrêtée à 396 fr. au total, en chiffres arrondis. Le recourant sera tenu au remboursement de l’indemnité due à son conseil d’office, mise provisoirement à la charge de l’Etat, dès qu’il sera en mesure de le faire (art. 123 CPC par renvoi de l’art. 18 al. 5 LPA-VD). Par ces motifs, la Chambre des recours pénale prononce : I. Le recours est rejeté. II. L’ordonnance du 4 juin 2022 est confirmée. III. La requête du recourant tendant à l’octroi de l’assistance judiciaire gratuite pour la procédure de recours est sans objet. IV. L’indemnité allouée à Me Sarah Meyer, conseil d’office de O.________, est fixée à 396 fr. (trois cent nonante-six francs). V. O.________ sera tenu au remboursement de l’indemnité due à son conseil d’office, mise provisoirement à la charge de l’Etat, dès qu’il sera en mesure de le faire. VI. L’arrêt, rendu sans frais, est exécutoire. La présidente :               La greffière : Du Le présent arrêt, dont la rédaction a été approuvée à huis clos, est notifié, par efax et par l’envoi d’une copie complète, à : - Me Sarah Meyer, avocate (pour O.________), - Service de la population, Secteur départ et mesures, et communiqué par efax et par courrier A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