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478 vom 13. April 2022</w:t>
      </w:r>
    </w:p>
    <w:p>
      <w:r>
        <w:t>VD Tribunal cantonal, 2022-04-13, FR</w:t>
      </w:r>
    </w:p>
    <w:p>
      <w:r>
        <w:rPr>
          <w:b/>
        </w:rPr>
        <w:t xml:space="preserve">Quelle: </w:t>
      </w:r>
      <w:r>
        <w:t>https://mcp.opencaselaw.ch/entscheid/vd_findinfo_D_cision___2022___478</w:t>
      </w:r>
    </w:p>
    <w:p>
      <w:r>
        <w:t>FR: VD_FINDINFO Décision / 2022 / 478 du 13 avril 2022</w:t>
      </w:r>
    </w:p>
    <w:p>
      <w:r>
        <w:t>IT: VD_FINDINFO Décision / 2022 / 478 del 13 aprile 2022</w:t>
      </w:r>
    </w:p>
    <w:p>
      <w:pPr>
        <w:pStyle w:val="Heading2"/>
      </w:pPr>
      <w:r>
        <w:t>Regeste</w:t>
      </w:r>
    </w:p>
    <w:p>
      <w:r>
        <w:t>FAUTE, RÉPARTITION DES FRAIS, INDEMNITÉ{EN GÉNÉRAL}, CLASSEMENT DE LA PROCÉDURE, FIDÉLITÉ, CONTRAT DE TRAVAIL | 426 al. 2 CPP (CH), 429 CPP (CH)</w:t>
      </w:r>
    </w:p>
    <w:p>
      <w:pPr>
        <w:pStyle w:val="Heading2"/>
      </w:pPr>
      <w:r>
        <w:t>Erwägungen</w:t>
      </w:r>
    </w:p>
    <w:p>
      <w:r>
        <w:rPr>
          <w:b/>
        </w:rPr>
        <w:t>E. 1</w:t>
      </w:r>
    </w:p>
    <w:p>
      <w:r>
        <w:t>ROTC [règlement organique du Tribunal cantonal du 13 novembre 2007 ; BLV 173.31.1]).</w:t>
      </w:r>
    </w:p>
    <w:p>
      <w:r>
        <w:rPr>
          <w:b/>
        </w:rPr>
        <w:t>E. 1.1</w:t>
      </w:r>
    </w:p>
    <w:p>
      <w:r>
        <w:t>Les parties peuvent attaquer 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En l’espèce, interjeté en temps utile devant l’autorité compétente, par le prévenu qui a qualité pour recourir dans la mesure où il conteste la mise à sa charge des frais et le refus du procureur de lui allouer une indemnité fondée sur l’art. 429 CPP (art. 382 al. 1 CPP), et satisfaisant aux conditions de forme prescrites (art. 385 al. 1 CPP), le recours est recevable.</w:t>
      </w:r>
    </w:p>
    <w:p>
      <w:r>
        <w:rPr>
          <w:b/>
        </w:rPr>
        <w:t>E. 1.2</w:t>
      </w:r>
    </w:p>
    <w:p>
      <w:r>
        <w:t>Lorsque le recours porte uniquement sur les conséquences économiques accessoires d'une décision et que le montant litigieux ne dépasse pas 5'000 fr., un juge de la Chambre de céans statue comme juge unique (art. 395 let. b CPP et 13 al. 2 LVCPP). En l'occurrence, le recours déposé par D.________ porte uniquement sur les conséquences économiques accessoires du classement en sa faveur. Néanmoins, la valeur litigieuse, qui englobe les frais de la procédure de première instance et les indemnités réclamées par le recourant au titre de l’art. 429 CPP, chiffrées à 11'252 fr. 25 (8'752 fr. 25 + 2'500 fr.), le place dans la compétence de la Chambre des recours pénale statuant dans sa composition ordinaire à trois juges (art. 67 al. 1 let. i LOJV ; art. 12 al.</w:t>
      </w:r>
    </w:p>
    <w:p>
      <w:r>
        <w:rPr>
          <w:b/>
        </w:rPr>
        <w:t>E. 2.1</w:t>
      </w:r>
    </w:p>
    <w:p>
      <w:r>
        <w:t>Le recourant s’oppose à la mise à sa charge des frais de la procédure. Il conclut en outre à l’allocation d’une indemnité de 8'752 fr. 25 pour les dépenses occasionnées par l’exercice de ses droits et d’une indemnité de 2'500 fr. à titre de réparation du tort moral.</w:t>
      </w:r>
    </w:p>
    <w:p>
      <w:r>
        <w:rPr>
          <w:b/>
        </w:rPr>
        <w:t>E. 2.2</w:t>
      </w:r>
    </w:p>
    <w:p>
      <w:r>
        <w:t>Aux termes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(Constitution fédérale de la Confédération suisse du 18 avril 1999; RS 101) et 6 par. 2 CEDH (Convention de sauvegarde des droits de l’homme et des libertés fondamentales du 4 novembre 1950; RS 0.101) .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(Code des obligations ; RS 220) . Le fait reproché doit constituer une violation claire de la norme de comportement. Selon la jurisprudence, un comportement immoral ou contraire au principe de la bonne foi au sens de l'art. 2 CC (Code civil suisse du 10 décembre 1907; RS 210) ne peut en principe suffire pour justifier l'intervention des autorités répressives et, partant, entraîner l'imputation des frais au prévenu acquitté (TF 6B_666/2019 du 4 septembre 2019 consid. 2.1 et les références).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(ATF 144 IV 202 consid. 2.2 et les réf. citées). Le juge ne peut fonder sa décision de mise à la charge du prévenu des frais que sur des faits incontestés ou clairement établis (TF 6B_1458/2020 du 7 avril 2021 consid. 1.2 et les réf. citées). Selon l’art. 429 al. 1 let. a CPP, le prévenu a droit à une indemnité pour les dépenses occasionnées par l’exercice raisonnable de ses droits de procédure s’il est acquitté totalement ou en partie ; dans ce cas, il a droit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 Selon l'art. 430 al. 1 let. a CPP, l'autorité pénale peut réduire ou refuser l'indemnité ou la réparation du tort moral lorsque le prévenu a provoqué illicitement et fautivement l'ouverture de la procédure ou a rendu plus difficile la conduite de celle-ci. L'art. 430 al. 1 let. a CPP en matière d’indemnité et de réparation du tort moral est ainsi le pendant de l'art. 426 al. 2 CPP en matière de frais. La question de l'indemnisation (art. 429 à 434 CPP) doit être traitée après celle des frais (TF 6B_565/2019 du 12 juin 2019 consid. 5.1 ; TF 6B_373/2019 du 4 juin 2019 consid. 1.2). Dans cette mesure, la décision sur les frais préjuge de la question de l'indemnisation (ATF 144 IV 207 consid. 1.8.2 ; ATF 137 IV 352 consid. 2.4.2).</w:t>
      </w:r>
    </w:p>
    <w:p>
      <w:r>
        <w:rPr>
          <w:b/>
        </w:rPr>
        <w:t>E. 2.3</w:t>
      </w:r>
    </w:p>
    <w:p>
      <w:r>
        <w:t>En l’espèce, le prévenu, qui ne remet pas en cause le classement, considère que le procureur ne pouvait mettre des frais à sa charge et qu’en conséquence, une indemnisation devait avoir lieu. Selon lui, d’une part, la plainte pénale déposée par L.________ était clairement tardive, ce que ne pouvait ignorer la plaignante assistée de mandataires professionnels, et d’autre part, sur le plan matériel, il ne pouvait y avoir de violation d’un secret commercial.</w:t>
      </w:r>
    </w:p>
    <w:p>
      <w:r>
        <w:rPr>
          <w:b/>
        </w:rPr>
        <w:t>E. 2.3.1</w:t>
      </w:r>
    </w:p>
    <w:p>
      <w:r>
        <w:t>Avant d’examiner la portée d’une plainte tardive sur l’application de l’art. 426 al. 2 CPP, se pose la question de savoir si l’on peut reprocher au recourant d’avoir provoqué illicitement et fautivement l'ouverture de la procédure au sens de l’art. 430 al. 1 let. a CPP précité. D’abord, force est de constater que le contrat de travail du recourant comportait clairement une clause de confidentialité, qui exigeait une discrétion absolue de la part de l’employé, ce qui n’est pas contesté. De plus, l’art. 339a al. 1 CO prévoit expressément qu’au moment où le contrat de travail prend fin, les parties se rendent tout ce qu’elles se sont remis pour la durée du contrat, de même que tout ce que l’une d’elles pourrait avoir reçu de tiers pour le compte de l’autre. Cette obligation découle du devoir de fidélité de l’art. 321a CO et, déjà en cours de contrat, ce devoir oblige l’employé à rendre compte et à remettre à son employeur notamment tous les documents qu’il reçoit pour le compte de celui-ci, de même que tous ceux qu’il produit dans le cadre de son travail, le résultat appartenant à l’employeur (art. 321b al. 2 CO) ; le devoir de confidentialité perdure après la fin du contrat, l’obligation de restituer prévenant un risque de violation de secrets d’affaires ou de détournement de clientèle, cela indépendamment d’autres clauses contractuelles (ATF 141 III 23 consid. 3.1 et les réf. citées). Le recourant ne conteste d’ailleurs pas ne pas avoir pleinement satisfait à son devoir de restitution au moment de son départ de la société L.________ (PV aud. 1, lignes 34 et 35), mais allègue l’avoir exercé en juin 2021. Toutefois, à ce moment-là, il n’était plus employé de la société depuis près d’un an, puisqu’il l’avait quitté le 30 juin 2020 ; or, l’art. 321b al. 2 CO utilise le terme « immédiatement » s’agissant de la restitution de la production du travailleur. Le recourant allègue également que la présentation de mars 2021, outre qu’elle n’aurait jamais eu lieu, serait un aspect parallèle et distinct, niant ainsi tout lien de causalité et toute divulgation d’un secret commercial. En réalité, si ce lien de causalité aurait dû être établi pour prononcer une condamnation pénale, il n’est pas nécessaire de l’établir sous cet angle-là dans le cadre de la violation du devoir civil relevant des obligations du travailleur. Il est en effet établi que le travailleur a emporté des documents confidentiels appartenant à son employeur à l’échéance de son contrat de travail et qu’il ne les a restitués que près d’un an plus tard, en raison de l’ouverture de l’enquête pénale. Pour ce motif, il y a lieu de retenir un comportement contraire à une règle juridique, plus précisément à l’art. 339a CO, et que la violation de ses devoirs contractuels par le recourant, qui savait qu’il avait l’obligation de restituer les fichiers litigieux à la fin de ses rapports de travail, est fautive au sens de l’art. 41 CO. Cela étant, la jurisprudence admet que la violation de ses devoirs par le mandataire envers le mandant, ou la violation de ses devoirs par l’entrepreneur envers le maître peuvent justifier que les frais soient mis à leur charge (cf. TF 6B_762/2020 du 17 mars 2021 consid. 3.1 et les réf. citées). Cela vaut « mutatis mutandis » pour la violation de ses devoirs de fidélité et de diligence par le travailleur vis-à-vis de l’employeur, d’autant qu’en vertu de l’art. 364 al. 1 CO, l’entrepreneur est soumis aux mêmes règles que le travailleur dans les rapports de travail (cf. ég. TF 6B_795/2017 du 30 mai 2018 consid. 1.2, qui étend à la violation d’autres contrats que les contrats de mandat et d’entreprise les hypothèses de fautes civiles pouvant entraîner la mise à la charge des frais au sens de l’art. 426 al. 2 CPP ; cf. aussi TPF 2012 70, in JdT 2013 IV 293 consid. 6.4.1 qui concerne la violation par un travailleur de l’art. 321a al. 4 CO comme fondement de la mise à sa charge des frais pénaux).</w:t>
      </w:r>
    </w:p>
    <w:p>
      <w:r>
        <w:rPr>
          <w:b/>
        </w:rPr>
        <w:t>E. 2.3.2</w:t>
      </w:r>
    </w:p>
    <w:p>
      <w:r>
        <w:t>Comme le relève le recourant, l’instruction pénale n’a pas été menée à terme, puisque la plaignante n’a pas déposé plainte dans le délai de l’art. 31 CP, malgré le fait qu’elle était assistée de mandataires professionnels. Le prévenu n’a ainsi pas pu utiliser tous les moyens prévus par la loi pour présenter sa version des faits. Doit ainsi être tranchée la question de savoir si la péremption du délai de plainte autorise l’application de l’art. 426 al. 2 CPP dans le cas particulier. Comme déjà relevé, la violation, par le prévenu, de ses obligations contractuelles constitue un comportement civilement illicite. Il s’agit d’une violation claire des dispositions relatives au contrat de travail. Cette violation est à l’origine de l'ouverture d’enquête. Le moyen du recours déduit de la péremption du délai de plainte méconnaît ainsi que l’application de l’art. 426 al. 2 CPP peut aussi, comme le prévoit expressément la jurisprudence topique, découler de la violation d’une obligation relevant du seul droit privé. Dans ce cadre, il ne s’agit pas de se prononcer sur une éventuelle culpabilité pénale, mais de se limiter à la faute civile (TF 6B_1462/2020 du 4 février 2021 ad CREP 15 octobre 2020/799). C’est dès lors à juste titre que le Ministère public a mis les frais de procédure à la charge du recourant, dont le montant n’est pas contesté dans son calcul. Au vu de la jurisprudence susmentionnée, cela scelle le sort du recours, soit le rejet d’une indemnité pour les frais de défense du recourant, tout comme de sa prétention en tort moral.</w:t>
      </w:r>
    </w:p>
    <w:p>
      <w:r>
        <w:rPr>
          <w:b/>
        </w:rPr>
        <w:t>E. 3</w:t>
      </w:r>
    </w:p>
    <w:p>
      <w:r>
        <w:t>Il résulte de ce qui précède que le recours doit être rejeté sans échange d’écritures (art. 390 al. 2 CPP) et le dispositif de l’ordonnance du 3 mars 2022 confirmé en ses chiffres II et III, seuls concernés par le recours. Pour le surplus, l’ordonnance est maintenue. Les frais de la procédure de recours, constitués en l’espèce du seul émolument d’arrêt (art. 422 al. 1 CPP), par 1'100 fr. (art. 20 al. 1 TFIP [tarif des frais de procédure et indemnités en matière pénale du 29 septembre 2010; BLV 312.03.1]), seront mis à la charge du recourant, qui succombe (art. 428 al. 1 CPP). Par ces motifs, la Chambre des recours pénale prononce : I. Le recours est rejeté. II. Les chiffres II et III du dispositif de l’ordonnance du 3 mars 2022 sont confirmés. III. Les frais d’arrêt, par 1'100 fr. (mille cent francs), sont mis à la charge de D.________. IV. L’arrêt est exécutoire. La présidente :               Le greffier : Du Le présent arrêt, dont la rédaction a été approuvée à huis clos, est notifié, par l'envoi d'une copie complète, à : - Me Julien Gafner, avocat (pour D.________), - Me Peter Haas, avocat (pour [...]),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