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468 vom 28. Juni 2022</w:t>
      </w:r>
    </w:p>
    <w:p>
      <w:r>
        <w:t>VD Tribunal cantonal, 2022-06-28, FR</w:t>
      </w:r>
    </w:p>
    <w:p>
      <w:r>
        <w:rPr>
          <w:b/>
        </w:rPr>
        <w:t xml:space="preserve">Quelle: </w:t>
      </w:r>
      <w:r>
        <w:t>https://mcp.opencaselaw.ch/entscheid/vd_findinfo_D_cision___2022___468</w:t>
      </w:r>
    </w:p>
    <w:p>
      <w:r>
        <w:t>FR: VD_FINDINFO Décision / 2022 / 468 du 28 juin 2022</w:t>
      </w:r>
    </w:p>
    <w:p>
      <w:r>
        <w:t>IT: VD_FINDINFO Décision / 2022 / 468 del 28 giugno 2022</w:t>
      </w:r>
    </w:p>
    <w:p>
      <w:pPr>
        <w:pStyle w:val="Heading2"/>
      </w:pPr>
      <w:r>
        <w:t>Regeste</w:t>
      </w:r>
    </w:p>
    <w:p>
      <w:r>
        <w:t>DROIT D'ÊTRE ENTENDU, DÉTENTION PROVISOIRE, PROLONGATION, RISQUE DE RÉCIDIVE, MESURE DE SUBSTITUTION À LA DÉTENTION, EXPERTISE PSYCHIATRIQUE | 29 al. 2 Cst., 221 al. 1 let. c CPP (CH), 227 al. 6 CPP (CH), 237 CPP (CH), 5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K.________ est recevable, sous réserve de ce qui sera mentionné aux considérants 2.3 et 4 ci-dessous.</w:t>
      </w:r>
    </w:p>
    <w:p>
      <w:r>
        <w:rPr>
          <w:b/>
        </w:rPr>
        <w:t>E. 2</w:t>
      </w:r>
    </w:p>
    <w:p>
      <w:r>
        <w:t>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1B_508/2018 du 4 décembre 2018 consid. 2 ; TF 1B_383/2016 du 4 novembre 2016 consid. 2). Exceptionnellement, la recherche de la vérité peut toutefois justifier la mise en place d'une séance (TF 1B_413/2021 du 12 août 2021 consid. 3.2 ; TF 1B_598/2020 du 17 décembre 2020 consid. 3.2 ; TF 1B_508/2018 du 4 décembre 2018 consid. 2 ; TF 1B_26/2017 du 8 février 2017 consid.</w:t>
      </w:r>
    </w:p>
    <w:p>
      <w:r>
        <w:rPr>
          <w:b/>
        </w:rPr>
        <w:t>E. 2.1</w:t>
      </w:r>
    </w:p>
    <w:p>
      <w:r>
        <w:t>Invoquant une violation de son droit d’être entendu en se fondant sur l’art. 227 al. 6 CPP, le recourant reproche au Tribunal des mesures de contrainte de ne pas avoir procédé à son audition ni à celle du Dr I.________. Selon lui, alors que les expertes n’avaient pas encore déposé leur rapport, ces mesures d’instruction auraient été nécessaires pour apprécier le risque de réitération, le médecin précité pouvant notamment apporter des précisions et donner son avis sur les effets d’une remise en liberté et sur les mesures médicales à prendre pour assurer le suivi du traitement.</w:t>
      </w:r>
    </w:p>
    <w:p>
      <w:r>
        <w:rPr>
          <w:b/>
        </w:rPr>
        <w:t>E. 2.1.1</w:t>
      </w:r>
    </w:p>
    <w:p>
      <w:r>
        <w:t>et les réf. citées ; TF 1B_568/2012 du 31 octobre 2012 consid. 3.2 ; CREP 3 mars 2022/152)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 citées ; cf. en particulier TF 1B_26/2017 du 8 février 2017 consid. 2.1, cité in CREP 24 août 2021/768).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Chambre des recours pénale, dispose d'un pouvoir d'examen complet en fait et en droit (ATF 142 II 218 consid. 2.8.1 ; CREP 3 mars 2022/152 ; CREP 24 août 2021/768 ; CREP 27 août 2020/637 ; CREP 20 mars 2018/219).</w:t>
      </w:r>
    </w:p>
    <w:p>
      <w:r>
        <w:rPr>
          <w:b/>
        </w:rPr>
        <w:t>E. 2.2</w:t>
      </w:r>
    </w:p>
    <w:p>
      <w:r>
        <w:t>Le droit d'être d'entendu découlant des art. 29 al. 2 Cst. (Constitution fédérale de la Confédération suisse du 18 avril 1999 ; RS 101), 3 al. 2 let. c et 107 CPP comprend notamment le droit pour le justiciable de s'exprimer sur les éléments pertinents avant qu'une décision soit prise touchant sa situation juridique (ATF 142 III 48 consid. 4.1.1 ; ATF 141 V 557 consid. 3.1 ; ATF 138 III 252 consid. 2.2 et les réf. citées). Tel est également le cas dans le cadre des procédures de détention provisoire ou pour des motifs de sûreté (cf. art. 31 al. 4 Cst. et 5 par. 4 CEDH [Convention de sauvegarde des droits de l’homme et des libertés fondamentales du 4 novembre 1950 ; RS 0.101] ; ATF 137 IV 87 consid. 3.3.2, JdT 2012 IV 143 ; ATF 126 I 172 consid. 3c ; TF 1B_143/2015 du 5 mai 2015 consid. 3.2). Selon l'art. 227 al. 6 CPP, la procédure de prolongation de la détention provisoire se déroule en règle générale par écrit ; toutefois, le tribunal des mesures de contrainte peut ordonner une audience ; celle-ci se déroule à huis clos.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w:t>
      </w:r>
    </w:p>
    <w:p>
      <w:r>
        <w:rPr>
          <w:b/>
        </w:rPr>
        <w:t>E. 2.3</w:t>
      </w:r>
    </w:p>
    <w:p>
      <w:r>
        <w:t>En l’espèce, le recourant perd de vue qu’à ce stade de la procédure, le droit d’être entendu découlant de l’art. 29 al. 2 Cst. n’impose pas à l’autorité de procéder à son audition ni a fortiori à l’audition de témoins, la procédure se déroulant en principe par écrit. En outre, la recherche de la vérité ne justifie pas la mise en place d’une séance, l’audition en qualité de témoin du Dr I.________ n’étant pas susceptible d’être déterminante, celui-ci ne revêtant pas la qualité d’expert judiciaire. Par ailleurs, la Chambre de céans a déjà indiqué dans son arrêt du 22 mars 2022 qu’un rapport du SMPP ne suffisait pas à poser un diagnostic sur l’éventuel trouble présenté par le recourant ni a fortiori à déterminer quelles mesures de substitution pouvaient palier le risque de réitération retenu (consid. 2.3). Il n’y a donc aucune violation du droit d’être entendu du recourant. Pour le surplus, la requête de mesures d’instruction tendant à ce que l’autorité de céans procède à la « tenue d’une audience » – sans préciser s’il s’agit de procéder à son audition et/ou à celle du médecin précité – doit être rejetée dans la mesure de sa recevabilité, le recourant se contentant de renvoyer à la lecture de ses déterminations du 1 er juin 2022, ce qui ne respecte pas les exigences de motivation de l’art 385 al. 1 CPP (TF 6B_510/2020 du 15 septembre 2020 consid. 2.2). Par ailleurs, comme la Cour l’a déjà indiqué dans son arrêt du 22 mars 2022 (consid. 2.3), la tenue de débats doit demeurer exceptionnelle dans le cadre du recours (TF 6B_106/2021 du 29 novembre 2021 consid. 2.1 et les références citées). Or, le recourant n’expose pas en quoi il existerait des circonstances exceptionnelles qui justifieraient que l’autorité de recours procède à son audition dans le cadre d’une procédure de prolongation de la détention provisoire.</w:t>
      </w:r>
    </w:p>
    <w:p>
      <w:r>
        <w:rPr>
          <w:b/>
        </w:rPr>
        <w:t>E. 3.1</w:t>
      </w:r>
    </w:p>
    <w:p>
      <w:r>
        <w:t>Le recourant ne conteste pas l'existence de charges suffisantes pesant à son encontre. Se plaignant d’arbitraire, il reproche en revanche à l'autorité précédente d'avoir retenu l'existence d'un risque de réitération, en renvoyant aux considérants de la Chambre de céans dans son dernier arrêt sans examiner ses « caractéristiques personnelles et actuelles », d’une part, et sans se prononcer sur le « rapport médical » du Dr I.________, d’autre part, alors que cet élément serait postérieur à la décision précitée et démontrerait que son état de santé se serait amélioré et qu’il n’aurait plus de pensées suicidaires. Le recourant se plaint également d'une violation du principe de célérité et reproche au Ministère public de ne pas avoir interpellé les expertes afin d’obtenir un premier avis sur le risque de récidive. Dans ces conditions, son maintien en détention serait disproportionné. Enfin, le recourant reproche au premier juge d'avoir considéré qu'aucune mesure de substitution ne permettait de réduire le risque de réitération retenu. Dans ses déterminations du 23 juin 2022, il ajoute qu’un suivi psychiatrique et un traitement antidépresseur, accompagné de mesures éducatives et psychothérapeutiques ainsi que d’un soutien social, réduiraient le risque de récidive, de sorte que sa libération pourrait être ordonnée moyennant l’obligation qu’il s’y soumette.</w:t>
      </w:r>
    </w:p>
    <w:p>
      <w:r>
        <w:rPr>
          <w:b/>
        </w:rPr>
        <w:t>E. 3.2.1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et les arrêts cités ; ATF 143 IV 9 consid. 2.3.1 ;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w:t>
      </w:r>
    </w:p>
    <w:p>
      <w:r>
        <w:rPr>
          <w:b/>
        </w:rPr>
        <w:t>E. 3.2.2</w:t>
      </w:r>
    </w:p>
    <w:p>
      <w:r>
        <w:t>Conformément au principe de la proportionnalité ancré à l'art. 36 al. 3 Cst., il convient aussi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 ; TF 1B_176/2022 du 21 avril 2022 consid. 3.2).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 7 mai 2020 consid. 5 ; TF 1B_171/2019 du 8 mai 2019 consid. 3.1 ; Frei/Zuberbühler Elsässer, in : Donatsch/Lieber/Summers/Wohlers [éd.], Zürcher Kommentar, Kommentar zur schweizerischen Strafprozessordnung, 3 e éd., Zurich 2020, n. 9 ad art. 237 CPP).</w:t>
      </w:r>
    </w:p>
    <w:p>
      <w:r>
        <w:rPr>
          <w:b/>
        </w:rPr>
        <w:t>E. 3.2.3</w:t>
      </w:r>
    </w:p>
    <w:p>
      <w:r>
        <w:t>Concrétisant le principe de célérité consacré à l'art. 29 al. 1 Cst., l'art.</w:t>
      </w:r>
    </w:p>
    <w:p>
      <w:r>
        <w:rPr>
          <w:b/>
        </w:rPr>
        <w:t>E. 3.3</w:t>
      </w:r>
    </w:p>
    <w:p>
      <w:r>
        <w:t>En l’espèce, l’expertise a été mise en œuvre le 28 décembre 2021. Les expertes, après avoir demandé une prolongation, n’ont pas rendu leur rapport dans le délai prolongé qui leur avait été accordé au 15 mai 2022. Contactées, elles ont indiqué le 19 mai 2022 que celui-ci était en cours de rédaction et ont été enjointes à le déposer le plus rapidement possible. Ce n’est que le 16 juin suivant qu’elles ont procédé. Il est ainsi vrai, comme le fait valoir le recourant, que les expertes ont tardé. Dans un tel cas de figure, il appartenait au Ministère public et au Tribunal des mesures de contrainte de recueillir, oralement et dans les grandes lignes, un premier avis d’expert sur le risque de récidive et les mesures de substitution propres à le pallier (cf. ATF 143 IV 9 consid. 2.8), ce d’autant plus que les expertes avaient indiqué que leur rapport était en cours de rédaction, ce dont on peut déduire qu’elles avaient procédé à toutes les mesures nécessaires pour former leur appréciation. Toutefois, cette omission reste sans incidence sur les conclusions prises par le recourant, qui ne conclut pas au constat de la violation du principe de célérité, mais principalement à sa libération et subsidiairement à une prolongation de la détention provisoire d’une durée d’un mois. Enfin, comme le retient la jurisprudence, ce n’est que dans des cas très exceptionnels qu’une violation du principe de célérité peut aboutir au constat que la détention provisoire est disproportionnée et conduire à une libération. Tel n’est pas le cas en l’espèce, puisque le rapport d’expertise a finalement été déposé et que celui-ci retient au demeurant que le prévenu présente un risque de récidive. En effet, il ressort de ce rapport que le risque de récidive présenté par le recourant, qui souffre d’un trouble dépressif récurrent et d’un retard mental léger, est en grande partie corrélé à son état psychique. Or, en raison de son fonctionnement intellectuel limité, les expertes ont considéré qu’il était plus à risque de se retrouver dans des situations qui le mettraient en difficulté et ont estimé que le risque qu’il consomme de l’alcool et présente des comportements dangereux dans de tels moments était élevé. Elles ont également indiqué qu’au vu de ses antécédents, le prévenu semblait utiliser la conduite automobile comme un moyen de gérer les moments de stress et de frustration, la mise en danger de sa personne et d’autrui étant, dans un tel cas, élevée. Le risque que le recourant récidive doit par conséquent être considéré comme sérieux et concret. Selon les expertes, une mesure thérapeutique ambulatoire pourrait réduire ce risque. Cependant, s’il était d’accord de se soumettre à un tel traitement, le prévenu n’en comprenait toutefois que partiellement les enjeux et le risque qu’il arrête le suivi était important. A cet égard, les expertes ont précisé dans la partie discussion de leur rapport que le prévenu était « irrégulier » en ce qui concernait son suivi et qu’il semblait banaliser le risque qu’il faisait courir à des tiers lorsqu’il présentait des troubles du comportement en lien avec les faits. Le courrier du Dr I.________, qui fait état d’une amélioration de l’état de santé du prévenu et du fait que celui-ci souhaite arrêter sa médication, doit ainsi être relativisé au regard de l’appréciation des expertes qui ont indiqué expressément que les troubles dont souffrait le recourant persistaient et proposé un suivi psychiatrique et un traitement antidépresseur pendant une durée minimale de 5 ans, voire à vie. Par ailleurs, il y a lieu de rappeler que selon la jurisprudence susmentionnée, le choix d'une mesure au sens des art. 59 ss CP relève en principe du juge du fond et qu’une mesure de substitution ayant les caractéristiques d'une mesure au sens des art. 59 ss CP ne peut être ordonnée par le juge de la détention sans que toutes les conditions en soient a priori assurées. Il faudrait également que l’intéressé adhère à une telle mesure, ce qui n’apparaît pas être entièrement le cas, dès lors qu’à dire d’expert, il peine à en comprendre les enjeux. En définitive, à ce stade de la procédure et compte tenu de la gravité des faits reprochés au prévenu, des mesures de substitution à la détention provisoire ne sont pas envisageables et le maintien du recourant en détention provisoire doit être confirmé. Quant au principe de la proportionnalité, invoqué par le recourant uniquement en lien avec son grief portant sur le principe de célérité, il demeure pleinement respecté. En effet, la durée de la détention provisoire subie et à subir jusqu’à l’échéance de la prolongation contestée demeure entièrement proportionnée à la gravité des faits et à la peine encourue par le recourant au vu des infractions envisagées dans un contexte de récidive spéciale. 4. Au vu de ce qui précède, la conclusion tendant à sa libération immédiate prise, semble-t-il, à titre superprovisionnel par le recourant dans ses déterminations du 23 juin 2022 est sans objet.</w:t>
      </w:r>
    </w:p>
    <w:p>
      <w:r>
        <w:rPr>
          <w:b/>
        </w:rPr>
        <w:t>E. 5</w:t>
      </w:r>
    </w:p>
    <w:p>
      <w:r>
        <w:t>Il résulte de ce qui précède que le recours, manifestement mal fondé, doit être rejeté dans la mesure de sa recevabilité (cf. consid. 2.3 et 4), sans échange d’écritures (art. 390 al. 2 CPP), et l’ordonnance contestée confirmée. Les frais de la procédure de recours, constitués de l’émolument d’arrêt, par 2’200 fr. (art. 20 al. 1 TFIP [Tarif des frais de procédure et indemnités en matière pénale du 28 septembre 2010 ; BLV 312.03.1]), et des frais imputables à la défense d’office (art. 422 al. 1 et 2 let. a CPP), fixés à 630 fr. (3 h 30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12 fr. 60, plus la TVA, par 49 fr. 50, soit à 693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dans la mesure où il est recevable. II. L’ordonnance du 3 juin 2022 est confirmée. III. L’indemnité allouée au défenseur d’office de K.________ est fixée à 693 fr. (six cent nonante-trois francs). IV. Les frais d’arrêt, par 2’200 fr. (deux mille deux cents francs), ainsi que l’indemnité due au défenseur d’office de K.________, par 693 fr. (six cent nonante-trois francs), sont mis à la charge de ce dernier. V. Le remboursement à l’Etat de l’indemnité allouée au chiffre III ci-dessus ne sera exigible que pour autant que la situation financière de K.________ le permette. VI. L’arrêt est exécutoire. La présidente : La greffière : Du Le présent arrêt, dont la rédaction a été approuvée à huis clos, est notifié, par l'envoi d'une copie complète, à : - Me Xavier de Haller, avocat (pour K.________), - Ministère public central, et communiqué à : - M. le Président du Tribunal des mesures de contrainte, - M. le Procureur de l’arrondissement du Nord vaudois, - Mme [...], curatrice (pour K.________),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