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454 vom 2. Juni 2022</w:t>
      </w:r>
    </w:p>
    <w:p>
      <w:r>
        <w:t>VD Tribunal cantonal, 2022-06-02, FR</w:t>
      </w:r>
    </w:p>
    <w:p>
      <w:r>
        <w:rPr>
          <w:b/>
        </w:rPr>
        <w:t xml:space="preserve">Quelle: </w:t>
      </w:r>
      <w:r>
        <w:t>https://mcp.opencaselaw.ch/entscheid/vd_findinfo_D_cision___2022___454</w:t>
      </w:r>
    </w:p>
    <w:p>
      <w:r>
        <w:t>FR: VD_FINDINFO Décision / 2022 / 454 du 2 juin 2022</w:t>
      </w:r>
    </w:p>
    <w:p>
      <w:r>
        <w:t>IT: VD_FINDINFO Décision / 2022 / 454 del 2 giugno 2022</w:t>
      </w:r>
    </w:p>
    <w:p>
      <w:pPr>
        <w:pStyle w:val="Heading2"/>
      </w:pPr>
      <w:r>
        <w:t>Regeste</w:t>
      </w:r>
    </w:p>
    <w:p>
      <w:r>
        <w:t>MANDAT DE PERQUISITION, ADMISSION DE LA DEMANDE, MOTIVATION DE LA DÉCISION | 197 al.1 CPP (CH), 241 CPP (CH)</w:t>
      </w:r>
    </w:p>
    <w:p>
      <w:pPr>
        <w:pStyle w:val="Heading2"/>
      </w:pPr>
      <w:r>
        <w:t>Erwägungen</w:t>
      </w:r>
    </w:p>
    <w:p>
      <w:r>
        <w:rPr>
          <w:b/>
        </w:rPr>
        <w:t>E. 1</w:t>
      </w:r>
    </w:p>
    <w:p>
      <w:r>
        <w:t>Les parties peuvent attaquer un mandat de perquisition rendu par le Ministère public (art. 241 et 393 al. 1 let. a CPP ; Chirazi, in : Kuhn/Jeanneret/Perrier Depeursinge [éd.], Commentaire romand, Code de procédure pénale suisse (CR CPP), 2 e éd., Bâle 2019, n. 53 ad art. 241 CPP ; CREP 19 décembre 2016/861 consid. 1)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 Interjeté dans le délai légal auprès de l'autorité compétente, le recours de T.________ est recevable.</w:t>
      </w:r>
    </w:p>
    <w:p>
      <w:r>
        <w:rPr>
          <w:b/>
        </w:rPr>
        <w:t>E. 2.1</w:t>
      </w:r>
    </w:p>
    <w:p>
      <w:r>
        <w:t>Le recourant soutient que le mandat de perquisition n’était pas apte à prouver les faits objets de l’enquête ouverte à son encontre, à savoir l’obtention de plusieurs fichiers à caractère pédopornographique via l’application « skype » entre avril et mai 2014. Il reproche également au Ministère public d’avoir indiqué « vu l’enquête en cours » au titre d’explication du but de la mesure, ce qui ne constituait pas une motivation suffisamment précise des faits objets de l’enquête en cours pour que son destinataire comprenne le fondement de la mesure de contrainte et qu’il puisse en contrôler ultérieurement la légalité. Par ces moyens, il se prévaut d’une violation des art. 141, 196 ss et 241 ss CPP.</w:t>
      </w:r>
    </w:p>
    <w:p>
      <w:r>
        <w:rPr>
          <w:b/>
        </w:rPr>
        <w:t>E. 2.2.1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2.2.2</w:t>
      </w:r>
    </w:p>
    <w:p>
      <w:r>
        <w:t>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Pour être conforme aux exigences légales de motivation, la formulation utilisée doit permettre de saisir le but et le fondement de la perquisition. Pour que le mandat de perquisition soit conforme à ces exigences, il suffit que le procureur reprenne les termes clairs et concis de son ordonnance d’ouverture d’instruction (JdT 2014 III 201).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23 novembre 2020/858 consid. 2.2).</w:t>
      </w:r>
    </w:p>
    <w:p>
      <w:r>
        <w:rPr>
          <w:b/>
        </w:rPr>
        <w:t>E. 2.2.3</w:t>
      </w:r>
    </w:p>
    <w:p>
      <w:r>
        <w:t>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w:t>
      </w:r>
    </w:p>
    <w:p>
      <w:r>
        <w:rPr>
          <w:b/>
        </w:rPr>
        <w:t>E. 2.3</w:t>
      </w:r>
    </w:p>
    <w:p>
      <w:r>
        <w:t>En l’espèce, s’agissant de la motivation du mandat de perquisition, celui-ci mentionne « pour constater l’infraction, en découvrir les auteurs, saisir tout objet et tout document ou donnée informatique utile aux investigations en cours » . Cette formulation ne permet pas, à elle seule, de saisir suffisamment précisément le fondement de la perquisition. Une telle motivation ne comporte aucune description des faits poursuivis à même de garantir l’interdiction de toute recherche indéterminée de moyens de preuve, ni aucune mention de l’infraction en cause. Cela étant, c’est à juste titre que le recourant se plaint d’un défaut de motivation du mandat litigieux en violation des dispositions légales rappelées ci-dessus.</w:t>
      </w:r>
    </w:p>
    <w:p>
      <w:r>
        <w:rPr>
          <w:b/>
        </w:rPr>
        <w:t>E. 3</w:t>
      </w:r>
    </w:p>
    <w:p>
      <w:r>
        <w:t>Il résulte de ce qui précède que le recours doit être admis et le mandat litigieux annulé. Un délai de dix jours dès la notification du présent arrêt, est imparti au Ministère public de l’arrondissement de Lausanne afin qu'il motive le mandat de perquisition et de perquisition documentaire à défaut de quoi, les objets saisis le 7 avril 2022 devront être restitués au recourant.</w:t>
      </w:r>
    </w:p>
    <w:p>
      <w:r>
        <w:rPr>
          <w:b/>
        </w:rPr>
        <w:t>E. 4</w:t>
      </w:r>
    </w:p>
    <w:p>
      <w:r>
        <w:t>Le recourant ayant rendu vraisemblable la réalisation des conditions de l’art. 132 CPP, il convient de faire droit à sa requête tendant à l’octroi de l’assistance juridique gratuite et à la désignation de Me Fabien Mingard, d’ores et déjà intervenu comme défenseur de la première heure, comme défenseur d’office pour la procédure de recours. Au vu de la nature de la cause et du mémoire produit, l’indemnité allouée au défenseur d’office du recourant est fixée à 360 fr., correspondant à deux heures d’activité nécessaire d’avocat au tarif horaire de 180 fr., auxquels il y a lieu d’ajouter des débours forfaitaires à concurrence de 2 % des honoraires admis (art. 3 bis al. 1 RAJ, applicable par renvoi de l’art. 26b TFIP [tarif des frais de procédure et indemnités en matière pénale du 28 septembre 2010 ; BLV 312.03.1]), par</w:t>
      </w:r>
    </w:p>
    <w:p>
      <w:r>
        <w:rPr>
          <w:b/>
        </w:rPr>
        <w:t>E. 7</w:t>
      </w:r>
    </w:p>
    <w:p>
      <w:r>
        <w:t>fr. 20, plus la TVA au taux de 7,7 %, par 28 fr. 30, soit à 396 fr. au total en chiffres arrondis. Les frais de la procédure de recours, par 660 fr. (art. 20 al. 1 TFIP), ainsi que de l’indemnité allouée au conseil juridique gratuit du recourant (art. 422 al. 2 let. a CPP), par 396 fr. TVA et débours compris, seront laissés à la charge de l’Etat (art. 423 al. 1 CPP). Par ces motifs, la Chambre des recours pénale prononce : I. Le recours est admis. II. Le mandat de perquisition et de perquisition documentaire du 25 janvier 2022 est annulé. III. Un délai de dix jours dès la notification du présent arrêt est imparti au Ministère public de l’arrondissement de Lausanne pour motiver le mandat de perquisition et de perquisition documentaire, à défaut de quoi les objets saisis le 7 avril 2022 seront restitués. IV. Me Fabien Mingard est désigné défenseur d’office de T.________ pour la procédure de recours et son indemnité est fixée à 396 fr. (trois cent nonante-six francs). V. Les frais d’arrêt, par 660 fr. (six cent soixante francs), ainsi que l’indemnité due au conseil juridique gratuit de T.________, par 396 fr. (trois cent nonante-six francs), sont laissés à la charge de l’Etat. VI. L’arrêt est exécutoire. La présidente :               La greffière : Du Le présent arrêt, dont la rédaction a été approuvée à huis clos, est notifié, par l'envoi d'une copie complète, à : - Me Fabien Mingard, avocat (pour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