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447 vom 13. Juni 2022</w:t>
      </w:r>
    </w:p>
    <w:p>
      <w:r>
        <w:t>VD Tribunal cantonal, 2022-06-13, FR</w:t>
      </w:r>
    </w:p>
    <w:p>
      <w:r>
        <w:rPr>
          <w:b/>
        </w:rPr>
        <w:t xml:space="preserve">Quelle: </w:t>
      </w:r>
      <w:r>
        <w:t>https://mcp.opencaselaw.ch/entscheid/vd_findinfo_D_cision___2022___447</w:t>
      </w:r>
    </w:p>
    <w:p>
      <w:r>
        <w:t>FR: VD_FINDINFO Décision / 2022 / 447 du 13 juin 2022</w:t>
      </w:r>
    </w:p>
    <w:p>
      <w:r>
        <w:t>IT: VD_FINDINFO Décision / 2022 / 447 del 13 giugno 2022</w:t>
      </w:r>
    </w:p>
    <w:p>
      <w:pPr>
        <w:pStyle w:val="Heading2"/>
      </w:pPr>
      <w:r>
        <w:t>Regeste</w:t>
      </w:r>
    </w:p>
    <w:p>
      <w:r>
        <w:t>ORDONNANCE DE NON-ENTRÉE EN MATIÈRE, ABUS D'AUTORITÉ | 312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sous réserve de ce qui sera précisé plus bas (cf. consid. 3 infra),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Dans une argumentation confuse, le recourant cite des articles du Code pénal et évoque un « plagiat de courriers ». On comprend qu’il se plaint d’une appréciation erronée des faits et soutient qu’il aurait été empêché de payer les pensions alimentaires dues à ses enfants par le biais du compte réservé, ce qui constituerait – selon lui – un abus d’autorité.</w:t>
      </w:r>
    </w:p>
    <w:p>
      <w:r>
        <w:rPr>
          <w:b/>
        </w:rPr>
        <w:t>E. 3.2.1</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La disposition ne tend à sanctionner comme abus d’autorité que les cas importants de manquement à un devoir de fonction, les infractions de moindre gravité devant être sanctionnées par la voie disciplinaire, voire par des dispositions cantonales sur la répression des contraventions conformément à l’art. 335 CP (ATF 88 IV 69 consid. 1, JdT 1962 IV 86). La simple violation de devoirs de service, même sanctionnée par l’autorité supérieure ou de recours, ne suffit pas pour obtenir l’existence d’un abus. Il doit s’agir d’une violation insoutenable (Corboz, Les infractions en droit suisse, vol. II, 3 e éd., Berne 2010, n. 6 ad art. 312 CP).</w:t>
      </w:r>
    </w:p>
    <w:p>
      <w:r>
        <w:rPr>
          <w:b/>
        </w:rPr>
        <w:t>E. 3.2.2</w:t>
      </w:r>
    </w:p>
    <w:p>
      <w:r>
        <w:t>Aux termes de l’art. 53 al. 1 let. b RSPC (règlement sur le statut des personnes condamnées exécutant une peine privative de liberté ou une mesure du 16 août 2017 ; BLV 340.01.1), la rémunération ou l'indemnité équitable versée à la personne condamnée vise à permettre à la personne condamnée de couvrir, durant sa détention, notamment ses dépenses personnelles, d'assurer ses obligations sociales, d'aider sa famille ou ses proches. Selon l’art. 61 al. 2 RSPC, le compte bloqué a pour but de constituer les réserves nécessaires en vue du transfert en régime de travail externe ou de travail et logement externes, de préparer la libération conditionnelle ou définitive ou le départ de la Suisse. L’art. 61 al. 3 RSPC dispose que la personne condamnée n'a pas la possibilité de prélever un quelconque montant sur ce compte. Selon l’art. 59 al. 2 let. c RSPC, le compte disponible doit être utilisé pour aider la famille, les proches ou effectuer des remboursements.</w:t>
      </w:r>
    </w:p>
    <w:p>
      <w:r>
        <w:rPr>
          <w:b/>
        </w:rPr>
        <w:t>E. 3.3</w:t>
      </w:r>
    </w:p>
    <w:p>
      <w:r>
        <w:t>En l’espèce, le recourant exécute une peine privative de liberté au sein des Etablissements de la Plaine de l’Orbe. Il ressort des pièces du dossier qu’il a requis de pouvoir utiliser son pécule réservé pour payer les pensions alimentaires dues à ses enfants et que les organes du SPEN lui ont expliqué (P. 5/7) qu’il devait utiliser le compte disponible – alimenté par le versement de 65 % des montants perçus par le détenu au titre de la rémunération, de l'indemnité équitable et des suppléments – pour payer ces pensions conformément à l’art. 59 al. 2 let. c RSPC. La Cheffe du SPEN a également expliqué (P. 5/9 et P. 5/11) qu’il ne remplissait pas les conditions permettant de prélever les pensions en question sur le compte réservé visé à l’art. 60 RSPC, ce dernier ne pouvant être utilisé que dans le cas où la personne détenue refusait d’assumer les contributions d’entretien dues et qu’une décision judiciaire munie de l’attestation du caractère définitif et exécutoire était produite. Ainsi, le recourant a été invité à adresser une demande au secteur comptabilité de la prison afin que le montant des pensions dues à ses enfants soit prélevé sur son compte disponible. Compte tenu de ces éléments, on ne discerne de la part de la direction du SPEN aucun dessein de se procurer ou de procurer à un tiers un avantage illicite, ni même un dessein de nuire au recourant. En outre, la Cheffe du SPEN ayant appliqué les dispositions du RSPC, elle ne peut avoir commis aucun abus d’autorité. Du reste, il était loisible au recourant, s’il n’était pas d’accord avec la décision prise par celle-ci, d’utiliser les voies légales pour la contester. C’est ainsi à raison que le procureur a considéré que les éléments constitutifs de l’infraction d’abus d’autorité n’étaient pas réunis et qu’il a refusé d’entrer en matière sur la plainte. D’ailleurs, on ne comprend pas pour quel motif le recourant ne pourrait pas utiliser son compte disponible pour ce faire. Quant à l’argument du recourant selon lequel le paiement des pensions alimentaires est un devoir moral et légal, que de ne pas les payer est sanctionné par le Code pénal et qu’il y aurait un « déni de justice » de la part de l’autorité à s’opposer au versement de ces pensions par le compte réservé, il n’est pas pertinent au regard de ce qui précède et, en particulier, de l’art. 59 al. 2 let. c RSPC qui permet aux personnes condamnées de s’acquitter de leurs dettes d’aliment par le débit de leur compte disponible. Quant aux autres disposition légales, réglementaires ou concordataires citées par le recourant, celui-ci n’expose pas en quoi elles seraient pertinentes, savoir en quoi elles commanderaient – sur le plan des faits ou du droit – de rendre une autre décision. A cet égard, le recours est irrecevable (art. 385 al. 1 CPP).</w:t>
      </w:r>
    </w:p>
    <w:p>
      <w:r>
        <w:rPr>
          <w:b/>
        </w:rPr>
        <w:t>E. 4</w:t>
      </w:r>
    </w:p>
    <w:p>
      <w:r>
        <w:t>En définitive, le recours, manifestement mal fondé dans la mesure où il est recevable, doit être rejeté sans échange d’écritures (art. 390 al. 2 CPP) et l’ordonnance attaquée confirmée.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 mai 2022 est confirmée. III. Les frais d’arrêt, par 660 fr. (six cent soixante francs), sont mis à la charge de K.________. IV. L’arrêt est exécutoire. La présidente :               La greffière : Du Le présent arrêt, dont la rédaction a été approuvée à huis clos, est notifié, par l'envoi d'une copie complète, à : - M. K.________,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