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445 vom 16. Juni 2022</w:t>
      </w:r>
    </w:p>
    <w:p>
      <w:r>
        <w:t>VD Tribunal cantonal, 2022-06-16, FR</w:t>
      </w:r>
    </w:p>
    <w:p>
      <w:r>
        <w:rPr>
          <w:b/>
        </w:rPr>
        <w:t xml:space="preserve">Quelle: </w:t>
      </w:r>
      <w:r>
        <w:t>https://mcp.opencaselaw.ch/entscheid/vd_findinfo_D_cision___2022___445</w:t>
      </w:r>
    </w:p>
    <w:p>
      <w:r>
        <w:t>FR: VD_FINDINFO Décision / 2022 / 445 du 16 juin 2022</w:t>
      </w:r>
    </w:p>
    <w:p>
      <w:r>
        <w:t>IT: VD_FINDINFO Décision / 2022 / 445 del 16 giugno 2022</w:t>
      </w:r>
    </w:p>
    <w:p>
      <w:pPr>
        <w:pStyle w:val="Heading2"/>
      </w:pPr>
      <w:r>
        <w:t>Regeste</w:t>
      </w:r>
    </w:p>
    <w:p>
      <w:r>
        <w:t>DÉTENTION PROVISOIRE, RISQUE DE FUITE, RISQUE DE COLLUSION, AUDITION OU INTERROGATOIRE, MOTIVATION DE LA DÉCISION, MESURE DE SUBSTITUTION À LA DÉTENTION, PROPORTIONNALITÉ | 212 al. 3 CPP (CH), 221 al. 1 let. a CPP (CH), 221 al. 1 let. b CPP (CH), 237 CPP (CH), 390 al. 5 CPP (CH)</w:t>
      </w:r>
    </w:p>
    <w:p>
      <w:pPr>
        <w:pStyle w:val="Heading2"/>
      </w:pPr>
      <w:r>
        <w:t>Erwägungen</w:t>
      </w:r>
    </w:p>
    <w:p>
      <w:r>
        <w:rPr>
          <w:b/>
        </w:rPr>
        <w:t>E. 1</w:t>
      </w:r>
    </w:p>
    <w:p>
      <w:r>
        <w:t>Interjeté en temps utile (art. 396 al. 1 CPP [Code de procédure pénale suisse du 5 octobre 2007 ; RS 312.0]) contre une décision du Tribunal des mesures de contrainte dans un cas prévu par la loi (art. 393 al. 1 let. c CPP) par un détenu qui a qualité pour recourir (art. 222 et 382 al. 1 CPP) et selon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conteste l’existence de forts soupçons de culpabilité.</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[CR-CPP], nn. 4 ss ad art. 221 CPP). Pour constituer des soupçons suffisants, les indices de la commission d’une infraction doivent être sérieux et concrets (ATF 141 IV 87 consid. 1.3.1 ; ATF 137 IV 122 consid. 3.2). Selon la jurisprudence, il n'appartient cependant pas au juge de la détention – contrairement au juge du fond – de procéder à une pesée minutieuse et complète des éléments à charge et à décharge. Lorsque l'existence de charges est contestée, ce juge doit uniquement examiner si, sur la base des actes d'instruction disponibles, il existe des indices suffisants et concrets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3.3</w:t>
      </w:r>
    </w:p>
    <w:p>
      <w:r>
        <w:t>En l’espèce, le recourant conteste les indices à charge, particulièrement le fait d’être le surnommé « [...] », et veut pouvoir s’exprimer sur les auditions de [...] . Si le CPP prévoit certes que l’autorité de recours peut ordonner des débats, d’office ou à la demande d’une partie (art. 390 al. 5 CPP), la procédure de recours est en principe écrite (cf. art. 397 al. 1 CPP; TF 1B_332/2019 du 24 juillet 2019 consid. 3.1 et les références citées). La tenue des débats doit ainsi demeurer exceptionnelle (TF 1B_332/2019 précité). Au surplus, en matière de prolongation de la détention provisoire, la jurisprudence est restrictive (cf. par ex. TF 1B_26/2017 du 8 février 2017 consid. 2.1.1 et les réf. cit.). En l’occurrence, le recourant ne fait pas valoir de circonstance exceptionnelle qui justifierait que l’autorité de recours procède à son audition dans le cadre d’une procédure de prolongation de la détention provisoire. Du reste, il n’apparaît pas qu’il a requis d’être entendu par le premier juge en faisant valoir que la recherche de la vérité le justifiait. Dans ces conditions, sa réquisition tendant à ce qu’il soit entendu par l’autorité de recours doit être rejetée. Par ailleurs, force est de constater que lors de son audition par la police du 9 mars 2022, il a pu se déterminer sur les déclarations des personnes le mettant en cause (PV aud. 9) et que, lorsqu’il a été entendu par le procureur lors de son arrestation et qu’il était assisté de son conseil d’office, il a renoncé à être entendu par le Tribunal des mesures de contrainte en déclarant que son conseil s’exprimerait par écrit (PV aud. du 8 décembre 2021, lignes 120 – 121). Cela étant, les indices pesant sur C.________ sont suffisamment sérieux et se sont renforcés avec l’avancement de la procédure. En effet, en sus des déclarations de tiers, qui l’ont mis en cause pour leur avoir fourni régulièrement de la cocaïne, pour une quantité totale de près de 340 grammes, le prévenu s’est lui-même reconnu sur les deux clichés qui ont été soumis à [...] et que celui-ci a reconnu être « [...] » (PV aud. 2 et 4) et a admis avoir utilisé – du moins à une occasion – le numéro de téléphone sur lequel les deux prénommés le contactaient pour « passer commande » (PV aud. 2) et avoir livré de la cocaïne pour une quantité totale de 5 grammes (PV aud. 3 et 4). En outre et surtout, son ADN a été retrouvé sur un finger. Enfin, l’enquête a été étendue à des sommes importantes dont il a admis disposer sur plusieurs plateformes de cryptomonnaie. Au vu de ces divers éléments, c’est à juste titre que le Tribunal des mesures de contrainte a retenu qu’il existait toujours de forts soupçons que le prévenu ait commis les infractions qui lui sont reprochées.</w:t>
      </w:r>
    </w:p>
    <w:p>
      <w:r>
        <w:rPr>
          <w:b/>
        </w:rPr>
        <w:t>E. 4.1</w:t>
      </w:r>
    </w:p>
    <w:p>
      <w:r>
        <w:t>Le recourant conteste l’existence d’un risque de fuite.</w:t>
      </w:r>
    </w:p>
    <w:p>
      <w:r>
        <w:rPr>
          <w:b/>
        </w:rPr>
        <w:t>E. 4.2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ATF 143 IV 160 consid. 4.3, JdT 2018 IV 3 ; TF 1B_249/2022 du 7 juin 2022 consid. 3.3). Le risque de fuite s'étend également au risque de se soustraire à la procédure pénale ou à la sanction prévisible en tombant dans la clandestinité à l'intérieur du pays (ATF 145 IV 503 précité ; ATF 143 IV 160 précité ; TF 1B_249/2022 précité).</w:t>
      </w:r>
    </w:p>
    <w:p>
      <w:r>
        <w:rPr>
          <w:b/>
        </w:rPr>
        <w:t>E. 4.3</w:t>
      </w:r>
    </w:p>
    <w:p>
      <w:r>
        <w:t>C.________ est un ressortissant nigérian sans aucun statut en Suisse. Il bénéfice d’un titre de séjour pour l’Italie, où habitent sa femme et ses enfants. Il a en outre expliqué se rendre plusieurs fois par année au Nigéria et vivre le reste du temps en Italie ou à Oman. Dans ces circonstances, au regard des charges qui pèsent contre lui ainsi que de la peine à laquelle il s’expose, en plus d’une expulsion de Suisse, le risque qu’il prenne la fuite ou qu’il entre dans la clandestinité pour échapper à la procédure pénale ouverte à son encontre est important. Partant, c’est à raison que le Tribunal des mesures de contrainte a considéré que le risque de fuite était concret.</w:t>
      </w:r>
    </w:p>
    <w:p>
      <w:r>
        <w:rPr>
          <w:b/>
        </w:rPr>
        <w:t>E. 5.1</w:t>
      </w:r>
    </w:p>
    <w:p>
      <w:r>
        <w:t>Le recourant conteste l’existence d’un risque de collusion.</w:t>
      </w:r>
    </w:p>
    <w:p>
      <w:r>
        <w:rPr>
          <w:b/>
        </w:rPr>
        <w:t>E. 5.2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pp. 127 ss ; ATF 132 I 21 consid. 3.2 pp. 23 ss et les références citées). Plus l'instruction se trouve à un stade avancé et les faits sont établis avec précision, plus les exigences relatives à la preuve de l'existence d'un risque de collusion sont élevées (ATF 137 IV 122 consid. 4.2; ATF 132 I 21 consid. 3.2.2 ; TF 1B_132/2022 du 25 mars 2022 consid. 3.1).</w:t>
      </w:r>
    </w:p>
    <w:p>
      <w:r>
        <w:rPr>
          <w:b/>
        </w:rPr>
        <w:t>E. 5.3</w:t>
      </w:r>
    </w:p>
    <w:p>
      <w:r>
        <w:t>En l’espèce, la Chambre de céans considère, avec le Tribunal des mesures de contrainte, que le risque de collusion est sérieux et concret. Le recourant conteste les faits qui lui sont reprochés, précisant que ses aveux très partiels en début de procédure étaient dus au fait qu’il pensait être libéré s’il avouait avoir vendu de la cocaïne (PV aud. 9). Il est même allé jusqu’à prétendre, s’agissant de son ADN découvert sur un finger, que les enquêteurs « cré[aient] des preuves » pour l’incriminer (PV aud. du 9 mars 2022, p. 13). Au vu de ses explications, en contradiction avec les éléments du dossier et les mises en cause de ses clients, il convient d’éviter qu’il puisse prendre contact avec ces derniers afin de minimiser son implication en tentant d’influencer leurs déclarations, comme le Ministère public l’a à juste titre relevé dans sa demande de prolongation de la détention provisoire du 23 mai 2022. Par ailleurs, des démarches sont en cours auprès de plusieurs plateformes de cryptomonnaie afin d’identifier les fonds du prévenu et leur provenance et ainsi déterminer l’ampleur de son activité délictueuse. Ainsi, à ce stade de l’enquête, une libération de C.________ compromettrait très sérieusement l’enquête.</w:t>
      </w:r>
    </w:p>
    <w:p>
      <w:r>
        <w:rPr>
          <w:b/>
        </w:rPr>
        <w:t>E. 6</w:t>
      </w:r>
    </w:p>
    <w:p>
      <w:r>
        <w:t>Au vu des considérants qui précèdent, c’est à juste titre que le premier juge a retenu l’existence de soupçons sérieux de commission d’infractions, d’une part, et l’existence de risques de fuite et de collusion, d’autre part. Le grief du recourant relatif au fait que le premier juge se serait contenté, au lieu d’examiner concrètement ces trois points, de renvoyer à ses précédentes ordonnances sans tenir compte de l’évolution du dossier, ne peut qu’être écarté, respectivement rejeté. En effet, de jurisprudence constante, le Tribunal fédéral admet, en matière de prolongation de la détention provisoire, une motivation par renvoi à de précédentes décisions, pour autant que le prévenu ne fasse pas valoir de faits ou d’arguments nouveaux et que les motifs auxquels il est renvoyé soient développés de manière suffisante au regard des exigences déduites de l’art. 29 al. 2 Cst. (Constitution fédérale de la Confédération suisse du 18 avril 1999; RS 101 ; TF 1B_252/2020 du 11 juin 2020 consid. 2.1 et les réf. cit.). Or, en l’espèce, le recourant émet une critique générale en prétendant que le premier juge n’a pas adapté son examen à la situation existant au début du mois de juin 2022, mais ne précise pas quels seraient les éléments nouveaux que celui-ci n’aurait pas pris en compte, ni en quoi ces éventuels éléments nouveaux seraient pertinents pour le sort de ses conclusions. De toute manière, la Chambre de céans a tenu compte d’office des éléments pertinents, de sorte que s’il y avait une violation de l’obligation de motiver – ce qui n’est pas invoqué expressément ni du reste n’est le cas puisque la motivation par renvoi est possible et que le recourant n’indique pas sur quels point le dossier aurait évolué –, ce vice aurait été réparé en deuxième instance.</w:t>
      </w:r>
    </w:p>
    <w:p>
      <w:r>
        <w:rPr>
          <w:b/>
        </w:rPr>
        <w:t>E. 7</w:t>
      </w:r>
    </w:p>
    <w:p>
      <w:r>
        <w:t>septembre 2022, demeure proportionnée selon l’art. 212 al. 3 CPP au vu des infractions envisagées (cf. ATF 143 IV 168 consid. 5.1).</w:t>
      </w:r>
    </w:p>
    <w:p>
      <w:r>
        <w:rPr>
          <w:b/>
        </w:rPr>
        <w:t>E. 8</w:t>
      </w:r>
    </w:p>
    <w:p>
      <w:r>
        <w:t>Au vu de ce qui précède, le recours, manifestement mal fondé, doit être rejeté sans échange d'écritures (art. 390 al. 2 CPP), et l'ordonnance du 31 mai 2022 confirmée.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360 fr. (2 heures d’activité nécessaire au vu du mémoire de recours déposé au tarif de 180 fr. l’heure), auxquels il convient d’ajouter des débours forfaitaires à concurrence de 2 % (art. 3bis al. 1 RAJ [règlement sur l’assistance judiciaire en matière civile du 7 décembre 2010 ; BLV 211.02.3], applicable par renvoi de l’art. 26b TFIP), par 7 fr. 20, et la TVA, par 28 fr. 30, soit à 396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31 mai 2022 est confirmée. III. L’indemnité allouée au défenseur d’office de C.________ est fixée à 396 fr. (trois cent nonante-six francs). IV. Les frais d’arrêt, par 1'210 fr. (mille deux cent dix francs), ainsi que l’indemnité due au défenseur d’office de C.________, par 396 fr. (trois cent nonante-six francs), sont mis à la charge de ce dernier. V. Le remboursement à l'Etat de l'indemnité allouée au chiffre III ci-dessus ne sera exigible de C.________ que pour autant que sa situation financière le permette. VI. L’arrêt est exécutoire. La présidente :               Le greffier : Du Le présent arrêt, dont la rédaction a été approuvée à huis clos, est notifié, par l'envoi d'une copie complète, à : - Me Patrick Sutter, avocat (pour C.________), - Ministère public central, et communiqué à : ‑ Mme la Présidente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